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251659264">
            <wp:simplePos x="0" y="0"/>
            <wp:positionH relativeFrom="page">
              <wp:posOffset>669290</wp:posOffset>
            </wp:positionH>
            <wp:positionV relativeFrom="page">
              <wp:posOffset>899795</wp:posOffset>
            </wp:positionV>
            <wp:extent cx="955039" cy="888491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55039" cy="8884919"/>
                    </a:xfrm>
                    <a:prstGeom prst="rect">
                      <a:avLst/>
                    </a:prstGeom>
                  </pic:spPr>
                </pic:pic>
              </a:graphicData>
            </a:graphic>
          </wp:anchor>
        </w:drawing>
      </w:r>
      <w:r>
        <w:rPr/>
        <w:pict>
          <v:group style="position:absolute;margin-left:289.559998pt;margin-top:776.399963pt;width:250.6pt;height:65.55pt;mso-position-horizontal-relative:page;mso-position-vertical-relative:page;z-index:251661312" coordorigin="5791,15528" coordsize="5012,1311">
            <v:shape style="position:absolute;left:5791;top:15528;width:5012;height:1311" type="#_x0000_t75" stroked="false">
              <v:imagedata r:id="rId6" o:title=""/>
            </v:shape>
            <v:shapetype id="_x0000_t202" o:spt="202" coordsize="21600,21600" path="m,l,21600r21600,l21600,xe">
              <v:stroke joinstyle="miter"/>
              <v:path gradientshapeok="t" o:connecttype="rect"/>
            </v:shapetype>
            <v:shape style="position:absolute;left:10665;top:15636;width:13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1</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spacing w:line="300" w:lineRule="auto" w:before="77"/>
        <w:ind w:left="3227" w:right="492" w:firstLine="0"/>
        <w:jc w:val="center"/>
        <w:rPr>
          <w:sz w:val="72"/>
        </w:rPr>
      </w:pPr>
      <w:r>
        <w:rPr/>
        <w:pict>
          <v:group style="position:absolute;margin-left:181.080002pt;margin-top:-65.193275pt;width:393.4pt;height:438.55pt;mso-position-horizontal-relative:page;mso-position-vertical-relative:paragraph;z-index:-263803904" coordorigin="3622,-1304" coordsize="7868,8771">
            <v:shape style="position:absolute;left:5177;top:-1304;width:4274;height:4166" type="#_x0000_t75" stroked="false">
              <v:imagedata r:id="rId7" o:title=""/>
            </v:shape>
            <v:shape style="position:absolute;left:4437;top:52;width:6332;height:1311" type="#_x0000_t75" stroked="false">
              <v:imagedata r:id="rId8" o:title=""/>
            </v:shape>
            <v:shape style="position:absolute;left:5157;top:907;width:5278;height:1493" type="#_x0000_t75" stroked="false">
              <v:imagedata r:id="rId9" o:title=""/>
            </v:shape>
            <v:shape style="position:absolute;left:5940;top:2143;width:3716;height:1493" type="#_x0000_t75" stroked="false">
              <v:imagedata r:id="rId10" o:title=""/>
            </v:shape>
            <v:shape style="position:absolute;left:4298;top:3381;width:6797;height:1493" type="#_x0000_t75" stroked="false">
              <v:imagedata r:id="rId11" o:title=""/>
            </v:shape>
            <v:shape style="position:absolute;left:3621;top:4694;width:7868;height:840" type="#_x0000_t75" stroked="false">
              <v:imagedata r:id="rId12" o:title=""/>
            </v:shape>
            <v:shape style="position:absolute;left:5580;top:5282;width:4056;height:840" type="#_x0000_t75" stroked="false">
              <v:imagedata r:id="rId13" o:title=""/>
            </v:shape>
            <v:shape style="position:absolute;left:4975;top:6837;width:1025;height:629" type="#_x0000_t75" stroked="false">
              <v:imagedata r:id="rId14" o:title=""/>
            </v:shape>
            <v:shape style="position:absolute;left:5208;top:6016;width:2614;height:1416" type="#_x0000_t75" stroked="false">
              <v:imagedata r:id="rId15" o:title=""/>
            </v:shape>
            <v:shape style="position:absolute;left:6925;top:6580;width:147;height:200" type="#_x0000_t75" stroked="false">
              <v:imagedata r:id="rId16" o:title=""/>
            </v:shape>
            <v:shape style="position:absolute;left:6116;top:6406;width:139;height:373" type="#_x0000_t75" stroked="false">
              <v:imagedata r:id="rId17" o:title=""/>
            </v:shape>
            <v:shape style="position:absolute;left:5605;top:6329;width:1560;height:527" coordorigin="5605,6330" coordsize="1560,527" path="m7009,6330l7037,6332,7062,6338,7085,6348,7106,6363,7123,6381,7137,6403,7148,6429,7155,6458,7059,6469,7057,6455,7053,6443,7048,6433,7041,6425,7033,6419,7024,6415,7014,6412,7003,6411,6988,6413,6974,6418,6961,6427,6950,6439,6940,6457,6932,6483,6926,6516,6922,6556,6942,6537,6964,6524,6988,6515,7014,6513,7044,6516,7072,6524,7097,6539,7120,6560,7140,6585,7153,6614,7162,6646,7164,6681,7161,6719,7153,6753,7138,6783,7118,6808,7093,6829,7065,6844,7033,6853,6999,6856,6962,6852,6928,6841,6897,6822,6870,6796,6848,6760,6833,6716,6823,6661,6820,6597,6823,6531,6833,6475,6850,6429,6873,6392,6901,6365,6933,6345,6969,6334,7009,6330xm6592,6330l6672,6330,6672,6847,6573,6847,6573,6475,6545,6499,6514,6519,6481,6536,6446,6550,6446,6460,6466,6453,6486,6442,6508,6429,6530,6412,6551,6394,6568,6374,6582,6353,6592,6330xm6186,6330l6221,6333,6252,6343,6280,6360,6303,6383,6325,6420,6340,6467,6350,6525,6353,6593,6350,6661,6340,6719,6324,6766,6302,6803,6279,6826,6252,6843,6221,6853,6186,6856,6150,6853,6118,6842,6089,6824,6064,6798,6044,6764,6030,6718,6021,6661,6018,6592,6021,6524,6031,6467,6047,6420,6069,6383,6092,6359,6119,6343,6150,6333,6186,6330xm5788,6330l5824,6332,5856,6340,5884,6353,5908,6371,5927,6393,5940,6417,5949,6444,5951,6473,5951,6491,5948,6507,5944,6524,5939,6540,5932,6555,5923,6572,5912,6588,5899,6606,5889,6618,5874,6633,5856,6651,5835,6671,5813,6691,5797,6707,5784,6719,5775,6728,5767,6738,5760,6747,5755,6756,5951,6756,5951,6847,5605,6847,5609,6822,5616,6797,5626,6772,5639,6749,5656,6724,5681,6695,5712,6662,5750,6625,5780,6597,5804,6573,5821,6554,5832,6541,5841,6525,5847,6510,5851,6495,5852,6480,5851,6465,5848,6451,5842,6439,5835,6430,5825,6422,5813,6416,5800,6413,5785,6412,5771,6413,5758,6416,5746,6422,5736,6430,5728,6441,5722,6455,5718,6472,5715,6492,5617,6482,5624,6445,5635,6412,5651,6386,5672,6365,5697,6350,5724,6339,5755,6332,5788,6330xe" filled="false" stroked="true" strokeweight=".52pt" strokecolor="#c0504d">
              <v:path arrowok="t"/>
              <v:stroke dashstyle="solid"/>
            </v:shape>
            <v:shape style="position:absolute;left:7010;top:6016;width:1212;height:1416" type="#_x0000_t75" stroked="false">
              <v:imagedata r:id="rId18" o:title=""/>
            </v:shape>
            <v:rect style="position:absolute;left:7388;top:6623;width:401;height:74" filled="false" stroked="true" strokeweight=".52pt" strokecolor="#c0504d">
              <v:stroke dashstyle="solid"/>
            </v:rect>
            <v:shape style="position:absolute;left:7411;top:6016;width:1011;height:1416" type="#_x0000_t75" stroked="false">
              <v:imagedata r:id="rId19" o:title=""/>
            </v:shape>
            <v:shape style="position:absolute;left:7610;top:6016;width:2614;height:1416" type="#_x0000_t75" stroked="false">
              <v:imagedata r:id="rId20" o:title=""/>
            </v:shape>
            <v:shape style="position:absolute;left:9320;top:6406;width:139;height:373" type="#_x0000_t75" stroked="false">
              <v:imagedata r:id="rId17" o:title=""/>
            </v:shape>
            <v:shape style="position:absolute;left:8518;top:6406;width:139;height:373" type="#_x0000_t75" stroked="false">
              <v:imagedata r:id="rId17" o:title=""/>
            </v:shape>
            <v:shape style="position:absolute;left:8007;top:6329;width:1550;height:527" coordorigin="8008,6330" coordsize="1550,527" path="m9390,6330l9425,6333,9456,6343,9484,6360,9507,6383,9529,6420,9544,6467,9554,6525,9557,6593,9554,6661,9544,6719,9528,6766,9506,6803,9483,6826,9456,6843,9425,6853,9390,6856,9354,6853,9322,6842,9293,6824,9268,6798,9248,6764,9234,6718,9225,6661,9222,6592,9225,6524,9235,6467,9251,6420,9273,6383,9296,6359,9323,6343,9354,6333,9390,6330xm8992,6330l9028,6332,9060,6340,9088,6353,9112,6371,9131,6393,9144,6417,9153,6444,9155,6473,9155,6491,9152,6507,9148,6524,9143,6540,9136,6555,9127,6572,9116,6588,9103,6606,9093,6618,9078,6633,9060,6651,9039,6671,9017,6691,9001,6707,8988,6719,8979,6728,8971,6738,8964,6747,8959,6756,9155,6756,9155,6847,8809,6847,8813,6822,8820,6797,8830,6772,8843,6749,8860,6724,8885,6695,8916,6662,8954,6625,8984,6597,9008,6573,9025,6554,9036,6541,9045,6525,9051,6510,9055,6495,9056,6480,9055,6465,9052,6451,9046,6439,9039,6430,9029,6422,9017,6416,9004,6413,8989,6412,8975,6413,8962,6416,8950,6422,8940,6430,8932,6441,8926,6455,8922,6472,8919,6492,8821,6482,8828,6445,8839,6412,8855,6386,8876,6365,8901,6350,8928,6339,8959,6332,8992,6330xm8588,6330l8623,6333,8655,6343,8682,6360,8705,6383,8727,6420,8743,6467,8752,6525,8755,6593,8752,6661,8743,6719,8727,6766,8705,6803,8682,6826,8655,6843,8623,6853,8588,6856,8552,6853,8520,6842,8492,6824,8467,6798,8447,6764,8432,6718,8423,6661,8421,6592,8424,6524,8433,6467,8449,6420,8471,6383,8494,6359,8521,6343,8553,6333,8588,6330xm8190,6330l8226,6332,8258,6340,8286,6353,8310,6371,8329,6393,8343,6417,8351,6444,8354,6473,8353,6491,8351,6507,8347,6524,8341,6540,8334,6555,8325,6572,8314,6588,8302,6606,8291,6618,8277,6633,8259,6651,8237,6671,8216,6691,8199,6707,8186,6719,8178,6728,8170,6738,8163,6747,8158,6756,8354,6756,8354,6847,8008,6847,8012,6822,8019,6797,8029,6772,8041,6749,8059,6724,8083,6695,8114,6662,8152,6625,8183,6597,8206,6573,8223,6554,8234,6541,8243,6525,8250,6510,8253,6495,8255,6480,8254,6465,8250,6451,8245,6439,8237,6430,8227,6422,8216,6416,8203,6413,8188,6412,8173,6413,8160,6416,8149,6422,8139,6430,8130,6441,8124,6455,8120,6472,8118,6492,8019,6482,8026,6445,8037,6412,8054,6386,8074,6365,8099,6350,8127,6339,8157,6332,8190,6330xe" filled="false" stroked="true" strokeweight=".52pt" strokecolor="#c0504d">
              <v:path arrowok="t"/>
              <v:stroke dashstyle="solid"/>
            </v:shape>
            <v:shape style="position:absolute;left:9412;top:6016;width:1212;height:1416" type="#_x0000_t75" stroked="false">
              <v:imagedata r:id="rId21" o:title=""/>
            </v:shape>
            <w10:wrap type="none"/>
          </v:group>
        </w:pict>
      </w:r>
      <w:r>
        <w:rPr>
          <w:sz w:val="72"/>
        </w:rPr>
        <w:t>Plan Estratégico Institucional</w:t>
      </w:r>
    </w:p>
    <w:p>
      <w:pPr>
        <w:spacing w:line="360" w:lineRule="auto" w:before="203"/>
        <w:ind w:left="3227" w:right="491" w:firstLine="0"/>
        <w:jc w:val="center"/>
        <w:rPr>
          <w:sz w:val="72"/>
        </w:rPr>
      </w:pPr>
      <w:r>
        <w:rPr>
          <w:sz w:val="72"/>
        </w:rPr>
        <w:t>(P.E.I.) YACHAYLLAJTA</w:t>
      </w:r>
    </w:p>
    <w:p>
      <w:pPr>
        <w:spacing w:line="436" w:lineRule="exact" w:before="0"/>
        <w:ind w:left="3227" w:right="493" w:firstLine="0"/>
        <w:jc w:val="center"/>
        <w:rPr>
          <w:sz w:val="40"/>
        </w:rPr>
      </w:pPr>
      <w:r>
        <w:rPr>
          <w:sz w:val="40"/>
        </w:rPr>
        <w:t>Universidad Indígena Boliviana Quechua</w:t>
      </w:r>
    </w:p>
    <w:p>
      <w:pPr>
        <w:spacing w:before="128"/>
        <w:ind w:left="3227" w:right="492" w:firstLine="0"/>
        <w:jc w:val="center"/>
        <w:rPr>
          <w:sz w:val="40"/>
        </w:rPr>
      </w:pPr>
      <w:r>
        <w:rPr>
          <w:sz w:val="40"/>
        </w:rPr>
        <w:t>“Casimiro Huanca”</w:t>
      </w:r>
    </w:p>
    <w:p>
      <w:pPr>
        <w:spacing w:after="0"/>
        <w:jc w:val="center"/>
        <w:rPr>
          <w:sz w:val="40"/>
        </w:rPr>
        <w:sectPr>
          <w:type w:val="continuous"/>
          <w:pgSz w:w="11910" w:h="16840"/>
          <w:pgMar w:top="1400" w:bottom="0" w:left="620" w:right="280"/>
        </w:sectPr>
      </w:pPr>
    </w:p>
    <w:p>
      <w:pPr>
        <w:pStyle w:val="Heading2"/>
        <w:spacing w:before="17"/>
        <w:ind w:left="3227" w:right="4977" w:firstLine="0"/>
        <w:jc w:val="center"/>
        <w:rPr>
          <w:rFonts w:ascii="Calibri"/>
        </w:rPr>
      </w:pPr>
      <w:r>
        <w:rPr>
          <w:rFonts w:ascii="Calibri"/>
        </w:rPr>
        <w:t>CONTENIDO</w:t>
      </w:r>
    </w:p>
    <w:p>
      <w:pPr>
        <w:pStyle w:val="BodyText"/>
        <w:rPr>
          <w:rFonts w:ascii="Calibri"/>
          <w:b/>
          <w:sz w:val="20"/>
        </w:rPr>
      </w:pPr>
    </w:p>
    <w:p>
      <w:pPr>
        <w:pStyle w:val="BodyText"/>
        <w:spacing w:before="5"/>
        <w:rPr>
          <w:rFonts w:ascii="Calibri"/>
          <w:b/>
          <w:sz w:val="11"/>
        </w:rPr>
      </w:pPr>
    </w:p>
    <w:tbl>
      <w:tblPr>
        <w:tblW w:w="0" w:type="auto"/>
        <w:jc w:val="left"/>
        <w:tblInd w:w="1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9"/>
        <w:gridCol w:w="6900"/>
        <w:gridCol w:w="476"/>
      </w:tblGrid>
      <w:tr>
        <w:trPr>
          <w:trHeight w:val="244" w:hRule="atLeast"/>
        </w:trPr>
        <w:tc>
          <w:tcPr>
            <w:tcW w:w="739" w:type="dxa"/>
          </w:tcPr>
          <w:p>
            <w:pPr>
              <w:pStyle w:val="TableParagraph"/>
              <w:spacing w:line="225" w:lineRule="exact"/>
              <w:ind w:left="50"/>
              <w:rPr>
                <w:sz w:val="22"/>
              </w:rPr>
            </w:pPr>
            <w:r>
              <w:rPr>
                <w:w w:val="100"/>
                <w:sz w:val="22"/>
              </w:rPr>
              <w:t>1</w:t>
            </w:r>
          </w:p>
        </w:tc>
        <w:tc>
          <w:tcPr>
            <w:tcW w:w="6900" w:type="dxa"/>
          </w:tcPr>
          <w:p>
            <w:pPr>
              <w:pStyle w:val="TableParagraph"/>
              <w:spacing w:line="225" w:lineRule="exact"/>
              <w:ind w:left="18"/>
              <w:rPr>
                <w:sz w:val="22"/>
              </w:rPr>
            </w:pPr>
            <w:r>
              <w:rPr>
                <w:sz w:val="22"/>
              </w:rPr>
              <w:t>ANTECEDENTES</w:t>
            </w:r>
          </w:p>
        </w:tc>
        <w:tc>
          <w:tcPr>
            <w:tcW w:w="476" w:type="dxa"/>
          </w:tcPr>
          <w:p>
            <w:pPr>
              <w:pStyle w:val="TableParagraph"/>
              <w:spacing w:line="225" w:lineRule="exact"/>
              <w:ind w:left="200"/>
              <w:rPr>
                <w:sz w:val="22"/>
              </w:rPr>
            </w:pPr>
            <w:r>
              <w:rPr>
                <w:w w:val="100"/>
                <w:sz w:val="22"/>
              </w:rPr>
              <w:t>5</w:t>
            </w:r>
          </w:p>
        </w:tc>
      </w:tr>
      <w:tr>
        <w:trPr>
          <w:trHeight w:val="268" w:hRule="atLeast"/>
        </w:trPr>
        <w:tc>
          <w:tcPr>
            <w:tcW w:w="739" w:type="dxa"/>
          </w:tcPr>
          <w:p>
            <w:pPr>
              <w:pStyle w:val="TableParagraph"/>
              <w:spacing w:line="249" w:lineRule="exact"/>
              <w:ind w:left="50"/>
              <w:rPr>
                <w:sz w:val="22"/>
              </w:rPr>
            </w:pPr>
            <w:r>
              <w:rPr>
                <w:w w:val="100"/>
                <w:sz w:val="22"/>
              </w:rPr>
              <w:t>2</w:t>
            </w:r>
          </w:p>
        </w:tc>
        <w:tc>
          <w:tcPr>
            <w:tcW w:w="6900" w:type="dxa"/>
          </w:tcPr>
          <w:p>
            <w:pPr>
              <w:pStyle w:val="TableParagraph"/>
              <w:spacing w:line="249" w:lineRule="exact"/>
              <w:ind w:left="18"/>
              <w:rPr>
                <w:sz w:val="22"/>
              </w:rPr>
            </w:pPr>
            <w:r>
              <w:rPr>
                <w:sz w:val="22"/>
              </w:rPr>
              <w:t>PILARES INSTITUCIONALES</w:t>
            </w:r>
          </w:p>
        </w:tc>
        <w:tc>
          <w:tcPr>
            <w:tcW w:w="476" w:type="dxa"/>
          </w:tcPr>
          <w:p>
            <w:pPr>
              <w:pStyle w:val="TableParagraph"/>
              <w:spacing w:line="249" w:lineRule="exact"/>
              <w:ind w:left="200"/>
              <w:rPr>
                <w:sz w:val="22"/>
              </w:rPr>
            </w:pPr>
            <w:r>
              <w:rPr>
                <w:w w:val="100"/>
                <w:sz w:val="22"/>
              </w:rPr>
              <w:t>8</w:t>
            </w:r>
          </w:p>
        </w:tc>
      </w:tr>
      <w:tr>
        <w:trPr>
          <w:trHeight w:val="268" w:hRule="atLeast"/>
        </w:trPr>
        <w:tc>
          <w:tcPr>
            <w:tcW w:w="739" w:type="dxa"/>
          </w:tcPr>
          <w:p>
            <w:pPr>
              <w:pStyle w:val="TableParagraph"/>
              <w:spacing w:line="249" w:lineRule="exact"/>
              <w:ind w:left="50"/>
              <w:rPr>
                <w:sz w:val="22"/>
              </w:rPr>
            </w:pPr>
            <w:r>
              <w:rPr>
                <w:sz w:val="22"/>
              </w:rPr>
              <w:t>2.1.</w:t>
            </w:r>
          </w:p>
        </w:tc>
        <w:tc>
          <w:tcPr>
            <w:tcW w:w="6900" w:type="dxa"/>
          </w:tcPr>
          <w:p>
            <w:pPr>
              <w:pStyle w:val="TableParagraph"/>
              <w:spacing w:line="249" w:lineRule="exact"/>
              <w:ind w:left="726"/>
              <w:rPr>
                <w:sz w:val="22"/>
              </w:rPr>
            </w:pPr>
            <w:r>
              <w:rPr>
                <w:sz w:val="22"/>
              </w:rPr>
              <w:t>DECRETO DE CONSTITUCIÓN</w:t>
            </w:r>
          </w:p>
        </w:tc>
        <w:tc>
          <w:tcPr>
            <w:tcW w:w="476" w:type="dxa"/>
          </w:tcPr>
          <w:p>
            <w:pPr>
              <w:pStyle w:val="TableParagraph"/>
              <w:spacing w:line="249" w:lineRule="exact"/>
              <w:ind w:left="200"/>
              <w:rPr>
                <w:sz w:val="22"/>
              </w:rPr>
            </w:pPr>
            <w:r>
              <w:rPr>
                <w:w w:val="100"/>
                <w:sz w:val="22"/>
              </w:rPr>
              <w:t>8</w:t>
            </w:r>
          </w:p>
        </w:tc>
      </w:tr>
      <w:tr>
        <w:trPr>
          <w:trHeight w:val="268" w:hRule="atLeast"/>
        </w:trPr>
        <w:tc>
          <w:tcPr>
            <w:tcW w:w="739" w:type="dxa"/>
          </w:tcPr>
          <w:p>
            <w:pPr>
              <w:pStyle w:val="TableParagraph"/>
              <w:spacing w:line="249" w:lineRule="exact"/>
              <w:ind w:left="50"/>
              <w:rPr>
                <w:sz w:val="22"/>
              </w:rPr>
            </w:pPr>
            <w:r>
              <w:rPr>
                <w:sz w:val="22"/>
              </w:rPr>
              <w:t>2.2.</w:t>
            </w:r>
          </w:p>
        </w:tc>
        <w:tc>
          <w:tcPr>
            <w:tcW w:w="6900" w:type="dxa"/>
          </w:tcPr>
          <w:p>
            <w:pPr>
              <w:pStyle w:val="TableParagraph"/>
              <w:spacing w:line="249" w:lineRule="exact"/>
              <w:ind w:left="726"/>
              <w:rPr>
                <w:sz w:val="22"/>
              </w:rPr>
            </w:pPr>
            <w:r>
              <w:rPr>
                <w:sz w:val="22"/>
              </w:rPr>
              <w:t>PRINCIPIOS Y VALORES</w:t>
            </w:r>
          </w:p>
        </w:tc>
        <w:tc>
          <w:tcPr>
            <w:tcW w:w="476" w:type="dxa"/>
          </w:tcPr>
          <w:p>
            <w:pPr>
              <w:pStyle w:val="TableParagraph"/>
              <w:spacing w:line="249" w:lineRule="exact"/>
              <w:ind w:left="200"/>
              <w:rPr>
                <w:sz w:val="22"/>
              </w:rPr>
            </w:pPr>
            <w:r>
              <w:rPr>
                <w:w w:val="100"/>
                <w:sz w:val="22"/>
              </w:rPr>
              <w:t>9</w:t>
            </w:r>
          </w:p>
        </w:tc>
      </w:tr>
      <w:tr>
        <w:trPr>
          <w:trHeight w:val="268" w:hRule="atLeast"/>
        </w:trPr>
        <w:tc>
          <w:tcPr>
            <w:tcW w:w="739" w:type="dxa"/>
          </w:tcPr>
          <w:p>
            <w:pPr>
              <w:pStyle w:val="TableParagraph"/>
              <w:spacing w:line="249" w:lineRule="exact"/>
              <w:ind w:left="50"/>
              <w:rPr>
                <w:sz w:val="22"/>
              </w:rPr>
            </w:pPr>
            <w:r>
              <w:rPr>
                <w:sz w:val="22"/>
              </w:rPr>
              <w:t>2.2.</w:t>
            </w:r>
          </w:p>
        </w:tc>
        <w:tc>
          <w:tcPr>
            <w:tcW w:w="6900" w:type="dxa"/>
          </w:tcPr>
          <w:p>
            <w:pPr>
              <w:pStyle w:val="TableParagraph"/>
              <w:spacing w:line="249" w:lineRule="exact"/>
              <w:ind w:left="726"/>
              <w:rPr>
                <w:sz w:val="22"/>
              </w:rPr>
            </w:pPr>
            <w:r>
              <w:rPr>
                <w:sz w:val="22"/>
              </w:rPr>
              <w:t>FINES Y OBJETIVOS DE LAS UNIVERSIDADES INDIGENAS: UNIBOL</w:t>
            </w:r>
          </w:p>
        </w:tc>
        <w:tc>
          <w:tcPr>
            <w:tcW w:w="476" w:type="dxa"/>
          </w:tcPr>
          <w:p>
            <w:pPr>
              <w:pStyle w:val="TableParagraph"/>
              <w:spacing w:line="249" w:lineRule="exact"/>
              <w:ind w:left="200"/>
              <w:rPr>
                <w:sz w:val="22"/>
              </w:rPr>
            </w:pPr>
            <w:r>
              <w:rPr>
                <w:sz w:val="22"/>
              </w:rPr>
              <w:t>10</w:t>
            </w:r>
          </w:p>
        </w:tc>
      </w:tr>
      <w:tr>
        <w:trPr>
          <w:trHeight w:val="268" w:hRule="atLeast"/>
        </w:trPr>
        <w:tc>
          <w:tcPr>
            <w:tcW w:w="739" w:type="dxa"/>
          </w:tcPr>
          <w:p>
            <w:pPr>
              <w:pStyle w:val="TableParagraph"/>
              <w:spacing w:line="249" w:lineRule="exact"/>
              <w:ind w:left="50"/>
              <w:rPr>
                <w:sz w:val="22"/>
              </w:rPr>
            </w:pPr>
            <w:r>
              <w:rPr>
                <w:sz w:val="22"/>
              </w:rPr>
              <w:t>3.</w:t>
            </w:r>
          </w:p>
        </w:tc>
        <w:tc>
          <w:tcPr>
            <w:tcW w:w="6900" w:type="dxa"/>
          </w:tcPr>
          <w:p>
            <w:pPr>
              <w:pStyle w:val="TableParagraph"/>
              <w:spacing w:line="249" w:lineRule="exact"/>
              <w:ind w:left="18"/>
              <w:rPr>
                <w:sz w:val="22"/>
              </w:rPr>
            </w:pPr>
            <w:r>
              <w:rPr>
                <w:sz w:val="22"/>
              </w:rPr>
              <w:t>ANÁLISIS DEL ENTORNO EXTERNO E INTERNO</w:t>
            </w:r>
          </w:p>
        </w:tc>
        <w:tc>
          <w:tcPr>
            <w:tcW w:w="476" w:type="dxa"/>
          </w:tcPr>
          <w:p>
            <w:pPr>
              <w:pStyle w:val="TableParagraph"/>
              <w:spacing w:line="249" w:lineRule="exact"/>
              <w:ind w:left="200"/>
              <w:rPr>
                <w:sz w:val="22"/>
              </w:rPr>
            </w:pPr>
            <w:r>
              <w:rPr>
                <w:sz w:val="22"/>
              </w:rPr>
              <w:t>12</w:t>
            </w:r>
          </w:p>
        </w:tc>
      </w:tr>
      <w:tr>
        <w:trPr>
          <w:trHeight w:val="268" w:hRule="atLeast"/>
        </w:trPr>
        <w:tc>
          <w:tcPr>
            <w:tcW w:w="739" w:type="dxa"/>
          </w:tcPr>
          <w:p>
            <w:pPr>
              <w:pStyle w:val="TableParagraph"/>
              <w:spacing w:line="249" w:lineRule="exact"/>
              <w:ind w:left="50"/>
              <w:rPr>
                <w:sz w:val="22"/>
              </w:rPr>
            </w:pPr>
            <w:r>
              <w:rPr>
                <w:sz w:val="22"/>
              </w:rPr>
              <w:t>3.1.</w:t>
            </w:r>
          </w:p>
        </w:tc>
        <w:tc>
          <w:tcPr>
            <w:tcW w:w="6900" w:type="dxa"/>
          </w:tcPr>
          <w:p>
            <w:pPr>
              <w:pStyle w:val="TableParagraph"/>
              <w:spacing w:line="249" w:lineRule="exact"/>
              <w:ind w:left="726"/>
              <w:rPr>
                <w:sz w:val="22"/>
              </w:rPr>
            </w:pPr>
            <w:r>
              <w:rPr>
                <w:sz w:val="22"/>
              </w:rPr>
              <w:t>A NIVEL INSTITUCIONAL</w:t>
            </w:r>
          </w:p>
        </w:tc>
        <w:tc>
          <w:tcPr>
            <w:tcW w:w="476" w:type="dxa"/>
          </w:tcPr>
          <w:p>
            <w:pPr>
              <w:pStyle w:val="TableParagraph"/>
              <w:spacing w:line="249" w:lineRule="exact"/>
              <w:ind w:left="200"/>
              <w:rPr>
                <w:sz w:val="22"/>
              </w:rPr>
            </w:pPr>
            <w:r>
              <w:rPr>
                <w:sz w:val="22"/>
              </w:rPr>
              <w:t>13</w:t>
            </w:r>
          </w:p>
        </w:tc>
      </w:tr>
      <w:tr>
        <w:trPr>
          <w:trHeight w:val="267" w:hRule="atLeast"/>
        </w:trPr>
        <w:tc>
          <w:tcPr>
            <w:tcW w:w="739" w:type="dxa"/>
          </w:tcPr>
          <w:p>
            <w:pPr>
              <w:pStyle w:val="TableParagraph"/>
              <w:spacing w:line="248" w:lineRule="exact"/>
              <w:ind w:left="50"/>
              <w:rPr>
                <w:sz w:val="22"/>
              </w:rPr>
            </w:pPr>
            <w:r>
              <w:rPr>
                <w:sz w:val="22"/>
              </w:rPr>
              <w:t>3.2.</w:t>
            </w:r>
          </w:p>
        </w:tc>
        <w:tc>
          <w:tcPr>
            <w:tcW w:w="6900" w:type="dxa"/>
          </w:tcPr>
          <w:p>
            <w:pPr>
              <w:pStyle w:val="TableParagraph"/>
              <w:spacing w:line="248" w:lineRule="exact"/>
              <w:ind w:left="726"/>
              <w:rPr>
                <w:sz w:val="22"/>
              </w:rPr>
            </w:pPr>
            <w:r>
              <w:rPr>
                <w:sz w:val="22"/>
              </w:rPr>
              <w:t>A NIVEL NACIÓN QUECHUA</w:t>
            </w:r>
          </w:p>
        </w:tc>
        <w:tc>
          <w:tcPr>
            <w:tcW w:w="476" w:type="dxa"/>
          </w:tcPr>
          <w:p>
            <w:pPr>
              <w:pStyle w:val="TableParagraph"/>
              <w:spacing w:line="248" w:lineRule="exact"/>
              <w:ind w:left="200"/>
              <w:rPr>
                <w:sz w:val="22"/>
              </w:rPr>
            </w:pPr>
            <w:r>
              <w:rPr>
                <w:sz w:val="22"/>
              </w:rPr>
              <w:t>18</w:t>
            </w:r>
          </w:p>
        </w:tc>
      </w:tr>
      <w:tr>
        <w:trPr>
          <w:trHeight w:val="267" w:hRule="atLeast"/>
        </w:trPr>
        <w:tc>
          <w:tcPr>
            <w:tcW w:w="739" w:type="dxa"/>
          </w:tcPr>
          <w:p>
            <w:pPr>
              <w:pStyle w:val="TableParagraph"/>
              <w:spacing w:line="247" w:lineRule="exact"/>
              <w:ind w:left="50"/>
              <w:rPr>
                <w:sz w:val="22"/>
              </w:rPr>
            </w:pPr>
            <w:r>
              <w:rPr>
                <w:sz w:val="22"/>
              </w:rPr>
              <w:t>3.3.</w:t>
            </w:r>
          </w:p>
        </w:tc>
        <w:tc>
          <w:tcPr>
            <w:tcW w:w="6900" w:type="dxa"/>
          </w:tcPr>
          <w:p>
            <w:pPr>
              <w:pStyle w:val="TableParagraph"/>
              <w:spacing w:line="247" w:lineRule="exact"/>
              <w:ind w:left="726"/>
              <w:rPr>
                <w:sz w:val="22"/>
              </w:rPr>
            </w:pPr>
            <w:r>
              <w:rPr>
                <w:sz w:val="22"/>
              </w:rPr>
              <w:t>A NIVEL DEL ESTADO PLURINACIONAL</w:t>
            </w:r>
          </w:p>
        </w:tc>
        <w:tc>
          <w:tcPr>
            <w:tcW w:w="476" w:type="dxa"/>
          </w:tcPr>
          <w:p>
            <w:pPr>
              <w:pStyle w:val="TableParagraph"/>
              <w:spacing w:line="247" w:lineRule="exact"/>
              <w:ind w:left="200"/>
              <w:rPr>
                <w:sz w:val="22"/>
              </w:rPr>
            </w:pPr>
            <w:r>
              <w:rPr>
                <w:sz w:val="22"/>
              </w:rPr>
              <w:t>19</w:t>
            </w:r>
          </w:p>
        </w:tc>
      </w:tr>
      <w:tr>
        <w:trPr>
          <w:trHeight w:val="269" w:hRule="atLeast"/>
        </w:trPr>
        <w:tc>
          <w:tcPr>
            <w:tcW w:w="739" w:type="dxa"/>
          </w:tcPr>
          <w:p>
            <w:pPr>
              <w:pStyle w:val="TableParagraph"/>
              <w:spacing w:line="249" w:lineRule="exact"/>
              <w:ind w:left="50"/>
              <w:rPr>
                <w:sz w:val="22"/>
              </w:rPr>
            </w:pPr>
            <w:r>
              <w:rPr>
                <w:sz w:val="22"/>
              </w:rPr>
              <w:t>3.4.</w:t>
            </w:r>
          </w:p>
        </w:tc>
        <w:tc>
          <w:tcPr>
            <w:tcW w:w="6900" w:type="dxa"/>
          </w:tcPr>
          <w:p>
            <w:pPr>
              <w:pStyle w:val="TableParagraph"/>
              <w:spacing w:line="249" w:lineRule="exact"/>
              <w:ind w:left="726"/>
              <w:rPr>
                <w:sz w:val="22"/>
              </w:rPr>
            </w:pPr>
            <w:r>
              <w:rPr>
                <w:sz w:val="22"/>
              </w:rPr>
              <w:t>A NIVEL MACRO REGIONAL</w:t>
            </w:r>
          </w:p>
        </w:tc>
        <w:tc>
          <w:tcPr>
            <w:tcW w:w="476" w:type="dxa"/>
          </w:tcPr>
          <w:p>
            <w:pPr>
              <w:pStyle w:val="TableParagraph"/>
              <w:spacing w:line="249" w:lineRule="exact"/>
              <w:ind w:left="200"/>
              <w:rPr>
                <w:sz w:val="22"/>
              </w:rPr>
            </w:pPr>
            <w:r>
              <w:rPr>
                <w:sz w:val="22"/>
              </w:rPr>
              <w:t>20</w:t>
            </w:r>
          </w:p>
        </w:tc>
      </w:tr>
      <w:tr>
        <w:trPr>
          <w:trHeight w:val="269" w:hRule="atLeast"/>
        </w:trPr>
        <w:tc>
          <w:tcPr>
            <w:tcW w:w="739" w:type="dxa"/>
          </w:tcPr>
          <w:p>
            <w:pPr>
              <w:pStyle w:val="TableParagraph"/>
              <w:spacing w:line="249" w:lineRule="exact"/>
              <w:ind w:left="50"/>
              <w:rPr>
                <w:sz w:val="22"/>
              </w:rPr>
            </w:pPr>
            <w:r>
              <w:rPr>
                <w:sz w:val="22"/>
              </w:rPr>
              <w:t>3.5.</w:t>
            </w:r>
          </w:p>
        </w:tc>
        <w:tc>
          <w:tcPr>
            <w:tcW w:w="6900" w:type="dxa"/>
          </w:tcPr>
          <w:p>
            <w:pPr>
              <w:pStyle w:val="TableParagraph"/>
              <w:spacing w:line="249" w:lineRule="exact"/>
              <w:ind w:left="726"/>
              <w:rPr>
                <w:sz w:val="22"/>
              </w:rPr>
            </w:pPr>
            <w:r>
              <w:rPr>
                <w:sz w:val="22"/>
              </w:rPr>
              <w:t>ANALISIS DIAGNOSTICO DESDE LAS DIMENSIONES DE LA CHACANA</w:t>
            </w:r>
          </w:p>
        </w:tc>
        <w:tc>
          <w:tcPr>
            <w:tcW w:w="476" w:type="dxa"/>
          </w:tcPr>
          <w:p>
            <w:pPr>
              <w:pStyle w:val="TableParagraph"/>
              <w:spacing w:line="249" w:lineRule="exact"/>
              <w:ind w:left="200"/>
              <w:rPr>
                <w:sz w:val="22"/>
              </w:rPr>
            </w:pPr>
            <w:r>
              <w:rPr>
                <w:sz w:val="22"/>
              </w:rPr>
              <w:t>20</w:t>
            </w:r>
          </w:p>
        </w:tc>
      </w:tr>
      <w:tr>
        <w:trPr>
          <w:trHeight w:val="268" w:hRule="atLeast"/>
        </w:trPr>
        <w:tc>
          <w:tcPr>
            <w:tcW w:w="739" w:type="dxa"/>
          </w:tcPr>
          <w:p>
            <w:pPr>
              <w:pStyle w:val="TableParagraph"/>
              <w:spacing w:line="249" w:lineRule="exact"/>
              <w:ind w:left="50"/>
              <w:rPr>
                <w:sz w:val="22"/>
              </w:rPr>
            </w:pPr>
            <w:r>
              <w:rPr>
                <w:sz w:val="22"/>
              </w:rPr>
              <w:t>3.6.</w:t>
            </w:r>
          </w:p>
        </w:tc>
        <w:tc>
          <w:tcPr>
            <w:tcW w:w="6900" w:type="dxa"/>
          </w:tcPr>
          <w:p>
            <w:pPr>
              <w:pStyle w:val="TableParagraph"/>
              <w:spacing w:line="249" w:lineRule="exact"/>
              <w:ind w:left="726"/>
              <w:rPr>
                <w:sz w:val="22"/>
              </w:rPr>
            </w:pPr>
            <w:r>
              <w:rPr>
                <w:sz w:val="22"/>
              </w:rPr>
              <w:t>PROYECCIONES SEGÚN ESCENARIOS POSIBLES</w:t>
            </w:r>
          </w:p>
        </w:tc>
        <w:tc>
          <w:tcPr>
            <w:tcW w:w="476" w:type="dxa"/>
          </w:tcPr>
          <w:p>
            <w:pPr>
              <w:pStyle w:val="TableParagraph"/>
              <w:spacing w:line="249" w:lineRule="exact"/>
              <w:ind w:left="200"/>
              <w:rPr>
                <w:sz w:val="22"/>
              </w:rPr>
            </w:pPr>
            <w:r>
              <w:rPr>
                <w:sz w:val="22"/>
              </w:rPr>
              <w:t>21</w:t>
            </w:r>
          </w:p>
        </w:tc>
      </w:tr>
      <w:tr>
        <w:trPr>
          <w:trHeight w:val="268" w:hRule="atLeast"/>
        </w:trPr>
        <w:tc>
          <w:tcPr>
            <w:tcW w:w="739" w:type="dxa"/>
          </w:tcPr>
          <w:p>
            <w:pPr>
              <w:pStyle w:val="TableParagraph"/>
              <w:spacing w:line="249" w:lineRule="exact"/>
              <w:ind w:left="50"/>
              <w:rPr>
                <w:sz w:val="22"/>
              </w:rPr>
            </w:pPr>
            <w:r>
              <w:rPr>
                <w:sz w:val="22"/>
              </w:rPr>
              <w:t>4.</w:t>
            </w:r>
          </w:p>
        </w:tc>
        <w:tc>
          <w:tcPr>
            <w:tcW w:w="6900" w:type="dxa"/>
          </w:tcPr>
          <w:p>
            <w:pPr>
              <w:pStyle w:val="TableParagraph"/>
              <w:spacing w:line="249" w:lineRule="exact"/>
              <w:ind w:left="18"/>
              <w:rPr>
                <w:sz w:val="22"/>
              </w:rPr>
            </w:pPr>
            <w:r>
              <w:rPr>
                <w:sz w:val="22"/>
              </w:rPr>
              <w:t>MARCO DE REFERENCIA</w:t>
            </w:r>
          </w:p>
        </w:tc>
        <w:tc>
          <w:tcPr>
            <w:tcW w:w="476" w:type="dxa"/>
          </w:tcPr>
          <w:p>
            <w:pPr>
              <w:pStyle w:val="TableParagraph"/>
              <w:spacing w:line="249" w:lineRule="exact"/>
              <w:ind w:left="200"/>
              <w:rPr>
                <w:sz w:val="22"/>
              </w:rPr>
            </w:pPr>
            <w:r>
              <w:rPr>
                <w:sz w:val="22"/>
              </w:rPr>
              <w:t>24</w:t>
            </w:r>
          </w:p>
        </w:tc>
      </w:tr>
      <w:tr>
        <w:trPr>
          <w:trHeight w:val="268" w:hRule="atLeast"/>
        </w:trPr>
        <w:tc>
          <w:tcPr>
            <w:tcW w:w="739" w:type="dxa"/>
          </w:tcPr>
          <w:p>
            <w:pPr>
              <w:pStyle w:val="TableParagraph"/>
              <w:spacing w:line="249" w:lineRule="exact"/>
              <w:ind w:left="50"/>
              <w:rPr>
                <w:sz w:val="22"/>
              </w:rPr>
            </w:pPr>
            <w:r>
              <w:rPr>
                <w:sz w:val="22"/>
              </w:rPr>
              <w:t>4.1.</w:t>
            </w:r>
          </w:p>
        </w:tc>
        <w:tc>
          <w:tcPr>
            <w:tcW w:w="6900" w:type="dxa"/>
          </w:tcPr>
          <w:p>
            <w:pPr>
              <w:pStyle w:val="TableParagraph"/>
              <w:spacing w:line="249" w:lineRule="exact"/>
              <w:ind w:left="726"/>
              <w:rPr>
                <w:sz w:val="22"/>
              </w:rPr>
            </w:pPr>
            <w:r>
              <w:rPr>
                <w:sz w:val="22"/>
              </w:rPr>
              <w:t>FUNDAMENTACIÓN</w:t>
            </w:r>
          </w:p>
        </w:tc>
        <w:tc>
          <w:tcPr>
            <w:tcW w:w="476" w:type="dxa"/>
          </w:tcPr>
          <w:p>
            <w:pPr>
              <w:pStyle w:val="TableParagraph"/>
              <w:spacing w:line="249" w:lineRule="exact"/>
              <w:ind w:left="200"/>
              <w:rPr>
                <w:sz w:val="22"/>
              </w:rPr>
            </w:pPr>
            <w:r>
              <w:rPr>
                <w:sz w:val="22"/>
              </w:rPr>
              <w:t>25</w:t>
            </w:r>
          </w:p>
        </w:tc>
      </w:tr>
      <w:tr>
        <w:trPr>
          <w:trHeight w:val="268" w:hRule="atLeast"/>
        </w:trPr>
        <w:tc>
          <w:tcPr>
            <w:tcW w:w="739" w:type="dxa"/>
          </w:tcPr>
          <w:p>
            <w:pPr>
              <w:pStyle w:val="TableParagraph"/>
              <w:spacing w:line="249" w:lineRule="exact"/>
              <w:ind w:left="50"/>
              <w:rPr>
                <w:sz w:val="22"/>
              </w:rPr>
            </w:pPr>
            <w:r>
              <w:rPr>
                <w:sz w:val="22"/>
              </w:rPr>
              <w:t>5.</w:t>
            </w:r>
          </w:p>
        </w:tc>
        <w:tc>
          <w:tcPr>
            <w:tcW w:w="6900" w:type="dxa"/>
          </w:tcPr>
          <w:p>
            <w:pPr>
              <w:pStyle w:val="TableParagraph"/>
              <w:spacing w:line="249" w:lineRule="exact"/>
              <w:ind w:left="18"/>
              <w:rPr>
                <w:sz w:val="22"/>
              </w:rPr>
            </w:pPr>
            <w:r>
              <w:rPr>
                <w:sz w:val="22"/>
              </w:rPr>
              <w:t>MARCO ESTRATÉGICO DEL PEI</w:t>
            </w:r>
          </w:p>
        </w:tc>
        <w:tc>
          <w:tcPr>
            <w:tcW w:w="476" w:type="dxa"/>
          </w:tcPr>
          <w:p>
            <w:pPr>
              <w:pStyle w:val="TableParagraph"/>
              <w:spacing w:line="249" w:lineRule="exact"/>
              <w:ind w:left="200"/>
              <w:rPr>
                <w:sz w:val="22"/>
              </w:rPr>
            </w:pPr>
            <w:r>
              <w:rPr>
                <w:sz w:val="22"/>
              </w:rPr>
              <w:t>29</w:t>
            </w:r>
          </w:p>
        </w:tc>
      </w:tr>
      <w:tr>
        <w:trPr>
          <w:trHeight w:val="268" w:hRule="atLeast"/>
        </w:trPr>
        <w:tc>
          <w:tcPr>
            <w:tcW w:w="739" w:type="dxa"/>
          </w:tcPr>
          <w:p>
            <w:pPr>
              <w:pStyle w:val="TableParagraph"/>
              <w:spacing w:line="249" w:lineRule="exact"/>
              <w:ind w:left="50"/>
              <w:rPr>
                <w:sz w:val="22"/>
              </w:rPr>
            </w:pPr>
            <w:r>
              <w:rPr>
                <w:sz w:val="22"/>
              </w:rPr>
              <w:t>5.1.</w:t>
            </w:r>
          </w:p>
        </w:tc>
        <w:tc>
          <w:tcPr>
            <w:tcW w:w="6900" w:type="dxa"/>
          </w:tcPr>
          <w:p>
            <w:pPr>
              <w:pStyle w:val="TableParagraph"/>
              <w:spacing w:line="249" w:lineRule="exact"/>
              <w:ind w:left="726"/>
              <w:rPr>
                <w:sz w:val="22"/>
              </w:rPr>
            </w:pPr>
            <w:r>
              <w:rPr>
                <w:sz w:val="22"/>
              </w:rPr>
              <w:t>MISION</w:t>
            </w:r>
          </w:p>
        </w:tc>
        <w:tc>
          <w:tcPr>
            <w:tcW w:w="476" w:type="dxa"/>
          </w:tcPr>
          <w:p>
            <w:pPr>
              <w:pStyle w:val="TableParagraph"/>
              <w:spacing w:line="249" w:lineRule="exact"/>
              <w:ind w:left="200"/>
              <w:rPr>
                <w:sz w:val="22"/>
              </w:rPr>
            </w:pPr>
            <w:r>
              <w:rPr>
                <w:sz w:val="22"/>
              </w:rPr>
              <w:t>29</w:t>
            </w:r>
          </w:p>
        </w:tc>
      </w:tr>
      <w:tr>
        <w:trPr>
          <w:trHeight w:val="268" w:hRule="atLeast"/>
        </w:trPr>
        <w:tc>
          <w:tcPr>
            <w:tcW w:w="739" w:type="dxa"/>
          </w:tcPr>
          <w:p>
            <w:pPr>
              <w:pStyle w:val="TableParagraph"/>
              <w:spacing w:line="249" w:lineRule="exact"/>
              <w:ind w:left="50"/>
              <w:rPr>
                <w:sz w:val="22"/>
              </w:rPr>
            </w:pPr>
            <w:r>
              <w:rPr>
                <w:sz w:val="22"/>
              </w:rPr>
              <w:t>5.2.</w:t>
            </w:r>
          </w:p>
        </w:tc>
        <w:tc>
          <w:tcPr>
            <w:tcW w:w="6900" w:type="dxa"/>
          </w:tcPr>
          <w:p>
            <w:pPr>
              <w:pStyle w:val="TableParagraph"/>
              <w:spacing w:line="249" w:lineRule="exact"/>
              <w:ind w:left="726"/>
              <w:rPr>
                <w:sz w:val="22"/>
              </w:rPr>
            </w:pPr>
            <w:r>
              <w:rPr>
                <w:sz w:val="22"/>
              </w:rPr>
              <w:t>VISIÓN</w:t>
            </w:r>
          </w:p>
        </w:tc>
        <w:tc>
          <w:tcPr>
            <w:tcW w:w="476" w:type="dxa"/>
          </w:tcPr>
          <w:p>
            <w:pPr>
              <w:pStyle w:val="TableParagraph"/>
              <w:spacing w:line="249" w:lineRule="exact"/>
              <w:ind w:left="200"/>
              <w:rPr>
                <w:sz w:val="22"/>
              </w:rPr>
            </w:pPr>
            <w:r>
              <w:rPr>
                <w:sz w:val="22"/>
              </w:rPr>
              <w:t>29</w:t>
            </w:r>
          </w:p>
        </w:tc>
      </w:tr>
      <w:tr>
        <w:trPr>
          <w:trHeight w:val="267" w:hRule="atLeast"/>
        </w:trPr>
        <w:tc>
          <w:tcPr>
            <w:tcW w:w="739" w:type="dxa"/>
          </w:tcPr>
          <w:p>
            <w:pPr>
              <w:pStyle w:val="TableParagraph"/>
              <w:spacing w:line="248" w:lineRule="exact"/>
              <w:ind w:left="50"/>
              <w:rPr>
                <w:sz w:val="22"/>
              </w:rPr>
            </w:pPr>
            <w:r>
              <w:rPr>
                <w:sz w:val="22"/>
              </w:rPr>
              <w:t>5.3.</w:t>
            </w:r>
          </w:p>
        </w:tc>
        <w:tc>
          <w:tcPr>
            <w:tcW w:w="6900" w:type="dxa"/>
          </w:tcPr>
          <w:p>
            <w:pPr>
              <w:pStyle w:val="TableParagraph"/>
              <w:spacing w:line="248" w:lineRule="exact"/>
              <w:ind w:left="726"/>
              <w:rPr>
                <w:sz w:val="22"/>
              </w:rPr>
            </w:pPr>
            <w:r>
              <w:rPr>
                <w:sz w:val="22"/>
              </w:rPr>
              <w:t>OBJETIVOS DEL PLAN ESTRATEGICO</w:t>
            </w:r>
          </w:p>
        </w:tc>
        <w:tc>
          <w:tcPr>
            <w:tcW w:w="476" w:type="dxa"/>
          </w:tcPr>
          <w:p>
            <w:pPr>
              <w:pStyle w:val="TableParagraph"/>
              <w:spacing w:line="248" w:lineRule="exact"/>
              <w:ind w:left="200"/>
              <w:rPr>
                <w:sz w:val="22"/>
              </w:rPr>
            </w:pPr>
            <w:r>
              <w:rPr>
                <w:sz w:val="22"/>
              </w:rPr>
              <w:t>30</w:t>
            </w:r>
          </w:p>
        </w:tc>
      </w:tr>
      <w:tr>
        <w:trPr>
          <w:trHeight w:val="267" w:hRule="atLeast"/>
        </w:trPr>
        <w:tc>
          <w:tcPr>
            <w:tcW w:w="739" w:type="dxa"/>
          </w:tcPr>
          <w:p>
            <w:pPr>
              <w:pStyle w:val="TableParagraph"/>
              <w:spacing w:line="247" w:lineRule="exact"/>
              <w:ind w:left="50"/>
              <w:rPr>
                <w:sz w:val="22"/>
              </w:rPr>
            </w:pPr>
            <w:r>
              <w:rPr>
                <w:sz w:val="22"/>
              </w:rPr>
              <w:t>5.3.1.</w:t>
            </w:r>
          </w:p>
        </w:tc>
        <w:tc>
          <w:tcPr>
            <w:tcW w:w="6900" w:type="dxa"/>
          </w:tcPr>
          <w:p>
            <w:pPr>
              <w:pStyle w:val="TableParagraph"/>
              <w:spacing w:line="247" w:lineRule="exact"/>
              <w:ind w:left="1435"/>
              <w:rPr>
                <w:sz w:val="22"/>
              </w:rPr>
            </w:pPr>
            <w:r>
              <w:rPr>
                <w:sz w:val="22"/>
              </w:rPr>
              <w:t>OBJETIVO SUPERIOR</w:t>
            </w:r>
          </w:p>
        </w:tc>
        <w:tc>
          <w:tcPr>
            <w:tcW w:w="476" w:type="dxa"/>
          </w:tcPr>
          <w:p>
            <w:pPr>
              <w:pStyle w:val="TableParagraph"/>
              <w:spacing w:line="247" w:lineRule="exact"/>
              <w:ind w:left="200"/>
              <w:rPr>
                <w:sz w:val="22"/>
              </w:rPr>
            </w:pPr>
            <w:r>
              <w:rPr>
                <w:sz w:val="22"/>
              </w:rPr>
              <w:t>30</w:t>
            </w:r>
          </w:p>
        </w:tc>
      </w:tr>
      <w:tr>
        <w:trPr>
          <w:trHeight w:val="268" w:hRule="atLeast"/>
        </w:trPr>
        <w:tc>
          <w:tcPr>
            <w:tcW w:w="739" w:type="dxa"/>
          </w:tcPr>
          <w:p>
            <w:pPr>
              <w:pStyle w:val="TableParagraph"/>
              <w:spacing w:line="249" w:lineRule="exact"/>
              <w:ind w:left="50"/>
              <w:rPr>
                <w:sz w:val="22"/>
              </w:rPr>
            </w:pPr>
            <w:r>
              <w:rPr>
                <w:sz w:val="22"/>
              </w:rPr>
              <w:t>5.3.2.</w:t>
            </w:r>
          </w:p>
        </w:tc>
        <w:tc>
          <w:tcPr>
            <w:tcW w:w="6900" w:type="dxa"/>
          </w:tcPr>
          <w:p>
            <w:pPr>
              <w:pStyle w:val="TableParagraph"/>
              <w:spacing w:line="249" w:lineRule="exact"/>
              <w:ind w:left="1435"/>
              <w:rPr>
                <w:sz w:val="22"/>
              </w:rPr>
            </w:pPr>
            <w:r>
              <w:rPr>
                <w:sz w:val="22"/>
              </w:rPr>
              <w:t>OBJETIVO GENERAL DEL PLAN</w:t>
            </w:r>
          </w:p>
        </w:tc>
        <w:tc>
          <w:tcPr>
            <w:tcW w:w="476" w:type="dxa"/>
          </w:tcPr>
          <w:p>
            <w:pPr>
              <w:pStyle w:val="TableParagraph"/>
              <w:spacing w:line="249" w:lineRule="exact"/>
              <w:ind w:left="200"/>
              <w:rPr>
                <w:sz w:val="22"/>
              </w:rPr>
            </w:pPr>
            <w:r>
              <w:rPr>
                <w:sz w:val="22"/>
              </w:rPr>
              <w:t>30</w:t>
            </w:r>
          </w:p>
        </w:tc>
      </w:tr>
      <w:tr>
        <w:trPr>
          <w:trHeight w:val="268" w:hRule="atLeast"/>
        </w:trPr>
        <w:tc>
          <w:tcPr>
            <w:tcW w:w="739" w:type="dxa"/>
          </w:tcPr>
          <w:p>
            <w:pPr>
              <w:pStyle w:val="TableParagraph"/>
              <w:spacing w:line="249" w:lineRule="exact"/>
              <w:ind w:left="50"/>
              <w:rPr>
                <w:sz w:val="22"/>
              </w:rPr>
            </w:pPr>
            <w:r>
              <w:rPr>
                <w:sz w:val="22"/>
              </w:rPr>
              <w:t>5.3.3.</w:t>
            </w:r>
          </w:p>
        </w:tc>
        <w:tc>
          <w:tcPr>
            <w:tcW w:w="6900" w:type="dxa"/>
          </w:tcPr>
          <w:p>
            <w:pPr>
              <w:pStyle w:val="TableParagraph"/>
              <w:spacing w:line="249" w:lineRule="exact"/>
              <w:ind w:left="1435"/>
              <w:rPr>
                <w:sz w:val="22"/>
              </w:rPr>
            </w:pPr>
            <w:r>
              <w:rPr>
                <w:sz w:val="22"/>
              </w:rPr>
              <w:t>OBJETIVOS ESPECÍFICOS O ESTRATEGICOS</w:t>
            </w:r>
          </w:p>
        </w:tc>
        <w:tc>
          <w:tcPr>
            <w:tcW w:w="476" w:type="dxa"/>
          </w:tcPr>
          <w:p>
            <w:pPr>
              <w:pStyle w:val="TableParagraph"/>
              <w:spacing w:line="249" w:lineRule="exact"/>
              <w:ind w:left="200"/>
              <w:rPr>
                <w:sz w:val="22"/>
              </w:rPr>
            </w:pPr>
            <w:r>
              <w:rPr>
                <w:sz w:val="22"/>
              </w:rPr>
              <w:t>31</w:t>
            </w:r>
          </w:p>
        </w:tc>
      </w:tr>
      <w:tr>
        <w:trPr>
          <w:trHeight w:val="268" w:hRule="atLeast"/>
        </w:trPr>
        <w:tc>
          <w:tcPr>
            <w:tcW w:w="739" w:type="dxa"/>
          </w:tcPr>
          <w:p>
            <w:pPr>
              <w:pStyle w:val="TableParagraph"/>
              <w:spacing w:line="249" w:lineRule="exact"/>
              <w:ind w:left="50"/>
              <w:rPr>
                <w:sz w:val="22"/>
              </w:rPr>
            </w:pPr>
            <w:r>
              <w:rPr>
                <w:sz w:val="22"/>
              </w:rPr>
              <w:t>5.4.</w:t>
            </w:r>
          </w:p>
        </w:tc>
        <w:tc>
          <w:tcPr>
            <w:tcW w:w="6900" w:type="dxa"/>
          </w:tcPr>
          <w:p>
            <w:pPr>
              <w:pStyle w:val="TableParagraph"/>
              <w:spacing w:line="249" w:lineRule="exact"/>
              <w:ind w:left="726"/>
              <w:rPr>
                <w:sz w:val="22"/>
              </w:rPr>
            </w:pPr>
            <w:r>
              <w:rPr>
                <w:sz w:val="22"/>
              </w:rPr>
              <w:t>RESULTADOS ESPERADOS</w:t>
            </w:r>
          </w:p>
        </w:tc>
        <w:tc>
          <w:tcPr>
            <w:tcW w:w="476" w:type="dxa"/>
          </w:tcPr>
          <w:p>
            <w:pPr>
              <w:pStyle w:val="TableParagraph"/>
              <w:spacing w:line="249" w:lineRule="exact"/>
              <w:ind w:left="200"/>
              <w:rPr>
                <w:sz w:val="22"/>
              </w:rPr>
            </w:pPr>
            <w:r>
              <w:rPr>
                <w:sz w:val="22"/>
              </w:rPr>
              <w:t>31</w:t>
            </w:r>
          </w:p>
        </w:tc>
      </w:tr>
      <w:tr>
        <w:trPr>
          <w:trHeight w:val="268" w:hRule="atLeast"/>
        </w:trPr>
        <w:tc>
          <w:tcPr>
            <w:tcW w:w="739" w:type="dxa"/>
          </w:tcPr>
          <w:p>
            <w:pPr>
              <w:pStyle w:val="TableParagraph"/>
              <w:spacing w:line="249" w:lineRule="exact"/>
              <w:ind w:left="50"/>
              <w:rPr>
                <w:sz w:val="22"/>
              </w:rPr>
            </w:pPr>
            <w:r>
              <w:rPr>
                <w:sz w:val="22"/>
              </w:rPr>
              <w:t>6.</w:t>
            </w:r>
          </w:p>
        </w:tc>
        <w:tc>
          <w:tcPr>
            <w:tcW w:w="6900" w:type="dxa"/>
          </w:tcPr>
          <w:p>
            <w:pPr>
              <w:pStyle w:val="TableParagraph"/>
              <w:spacing w:line="249" w:lineRule="exact"/>
              <w:ind w:left="18"/>
              <w:rPr>
                <w:sz w:val="22"/>
              </w:rPr>
            </w:pPr>
            <w:r>
              <w:rPr>
                <w:sz w:val="22"/>
              </w:rPr>
              <w:t>ESTRATEGIA DE IMPLEMENTACION</w:t>
            </w:r>
          </w:p>
        </w:tc>
        <w:tc>
          <w:tcPr>
            <w:tcW w:w="476" w:type="dxa"/>
          </w:tcPr>
          <w:p>
            <w:pPr>
              <w:pStyle w:val="TableParagraph"/>
              <w:spacing w:line="249" w:lineRule="exact"/>
              <w:ind w:left="200"/>
              <w:rPr>
                <w:sz w:val="22"/>
              </w:rPr>
            </w:pPr>
            <w:r>
              <w:rPr>
                <w:sz w:val="22"/>
              </w:rPr>
              <w:t>33</w:t>
            </w:r>
          </w:p>
        </w:tc>
      </w:tr>
      <w:tr>
        <w:trPr>
          <w:trHeight w:val="268" w:hRule="atLeast"/>
        </w:trPr>
        <w:tc>
          <w:tcPr>
            <w:tcW w:w="739" w:type="dxa"/>
          </w:tcPr>
          <w:p>
            <w:pPr>
              <w:pStyle w:val="TableParagraph"/>
              <w:spacing w:line="249" w:lineRule="exact"/>
              <w:ind w:left="50"/>
              <w:rPr>
                <w:sz w:val="22"/>
              </w:rPr>
            </w:pPr>
            <w:r>
              <w:rPr>
                <w:sz w:val="22"/>
              </w:rPr>
              <w:t>6.1.</w:t>
            </w:r>
          </w:p>
        </w:tc>
        <w:tc>
          <w:tcPr>
            <w:tcW w:w="6900" w:type="dxa"/>
          </w:tcPr>
          <w:p>
            <w:pPr>
              <w:pStyle w:val="TableParagraph"/>
              <w:spacing w:line="249" w:lineRule="exact"/>
              <w:ind w:left="726"/>
              <w:rPr>
                <w:sz w:val="22"/>
              </w:rPr>
            </w:pPr>
            <w:r>
              <w:rPr>
                <w:sz w:val="22"/>
              </w:rPr>
              <w:t>ESTRUCTURA Y COMPONENTES DEL PLAN</w:t>
            </w:r>
          </w:p>
        </w:tc>
        <w:tc>
          <w:tcPr>
            <w:tcW w:w="476" w:type="dxa"/>
          </w:tcPr>
          <w:p>
            <w:pPr>
              <w:pStyle w:val="TableParagraph"/>
              <w:spacing w:line="249" w:lineRule="exact"/>
              <w:ind w:left="200"/>
              <w:rPr>
                <w:sz w:val="22"/>
              </w:rPr>
            </w:pPr>
            <w:r>
              <w:rPr>
                <w:sz w:val="22"/>
              </w:rPr>
              <w:t>33</w:t>
            </w:r>
          </w:p>
        </w:tc>
      </w:tr>
      <w:tr>
        <w:trPr>
          <w:trHeight w:val="268" w:hRule="atLeast"/>
        </w:trPr>
        <w:tc>
          <w:tcPr>
            <w:tcW w:w="739" w:type="dxa"/>
          </w:tcPr>
          <w:p>
            <w:pPr>
              <w:pStyle w:val="TableParagraph"/>
              <w:spacing w:line="249" w:lineRule="exact"/>
              <w:ind w:left="50"/>
              <w:rPr>
                <w:sz w:val="22"/>
              </w:rPr>
            </w:pPr>
            <w:r>
              <w:rPr>
                <w:sz w:val="22"/>
              </w:rPr>
              <w:t>6.2.</w:t>
            </w:r>
          </w:p>
        </w:tc>
        <w:tc>
          <w:tcPr>
            <w:tcW w:w="6900" w:type="dxa"/>
          </w:tcPr>
          <w:p>
            <w:pPr>
              <w:pStyle w:val="TableParagraph"/>
              <w:spacing w:line="249" w:lineRule="exact"/>
              <w:ind w:left="726"/>
              <w:rPr>
                <w:sz w:val="22"/>
              </w:rPr>
            </w:pPr>
            <w:r>
              <w:rPr>
                <w:sz w:val="22"/>
              </w:rPr>
              <w:t>IMPLEMENTACION POR NIVELES TERRITORIALES</w:t>
            </w:r>
          </w:p>
        </w:tc>
        <w:tc>
          <w:tcPr>
            <w:tcW w:w="476" w:type="dxa"/>
          </w:tcPr>
          <w:p>
            <w:pPr>
              <w:pStyle w:val="TableParagraph"/>
              <w:spacing w:line="249" w:lineRule="exact"/>
              <w:ind w:left="200"/>
              <w:rPr>
                <w:sz w:val="22"/>
              </w:rPr>
            </w:pPr>
            <w:r>
              <w:rPr>
                <w:sz w:val="22"/>
              </w:rPr>
              <w:t>34</w:t>
            </w:r>
          </w:p>
        </w:tc>
      </w:tr>
      <w:tr>
        <w:trPr>
          <w:trHeight w:val="268" w:hRule="atLeast"/>
        </w:trPr>
        <w:tc>
          <w:tcPr>
            <w:tcW w:w="739" w:type="dxa"/>
          </w:tcPr>
          <w:p>
            <w:pPr>
              <w:pStyle w:val="TableParagraph"/>
              <w:spacing w:line="249" w:lineRule="exact"/>
              <w:ind w:left="50"/>
              <w:rPr>
                <w:sz w:val="22"/>
              </w:rPr>
            </w:pPr>
            <w:r>
              <w:rPr>
                <w:sz w:val="22"/>
              </w:rPr>
              <w:t>6.2.1.</w:t>
            </w:r>
          </w:p>
        </w:tc>
        <w:tc>
          <w:tcPr>
            <w:tcW w:w="6900" w:type="dxa"/>
          </w:tcPr>
          <w:p>
            <w:pPr>
              <w:pStyle w:val="TableParagraph"/>
              <w:spacing w:line="249" w:lineRule="exact"/>
              <w:ind w:left="1435"/>
              <w:rPr>
                <w:sz w:val="22"/>
              </w:rPr>
            </w:pPr>
            <w:r>
              <w:rPr>
                <w:sz w:val="22"/>
              </w:rPr>
              <w:t>LA YACHAYLLAJTA: TERRITORIALIDAD LOCAL</w:t>
            </w:r>
          </w:p>
        </w:tc>
        <w:tc>
          <w:tcPr>
            <w:tcW w:w="476" w:type="dxa"/>
          </w:tcPr>
          <w:p>
            <w:pPr>
              <w:pStyle w:val="TableParagraph"/>
              <w:spacing w:line="249" w:lineRule="exact"/>
              <w:ind w:left="200"/>
              <w:rPr>
                <w:sz w:val="22"/>
              </w:rPr>
            </w:pPr>
            <w:r>
              <w:rPr>
                <w:sz w:val="22"/>
              </w:rPr>
              <w:t>34</w:t>
            </w:r>
          </w:p>
        </w:tc>
      </w:tr>
      <w:tr>
        <w:trPr>
          <w:trHeight w:val="267" w:hRule="atLeast"/>
        </w:trPr>
        <w:tc>
          <w:tcPr>
            <w:tcW w:w="739" w:type="dxa"/>
          </w:tcPr>
          <w:p>
            <w:pPr>
              <w:pStyle w:val="TableParagraph"/>
              <w:spacing w:line="248" w:lineRule="exact"/>
              <w:ind w:left="50"/>
              <w:rPr>
                <w:sz w:val="22"/>
              </w:rPr>
            </w:pPr>
            <w:r>
              <w:rPr>
                <w:sz w:val="22"/>
              </w:rPr>
              <w:t>6.2.2.</w:t>
            </w:r>
          </w:p>
        </w:tc>
        <w:tc>
          <w:tcPr>
            <w:tcW w:w="6900" w:type="dxa"/>
          </w:tcPr>
          <w:p>
            <w:pPr>
              <w:pStyle w:val="TableParagraph"/>
              <w:spacing w:line="248" w:lineRule="exact"/>
              <w:ind w:left="1435"/>
              <w:rPr>
                <w:sz w:val="22"/>
              </w:rPr>
            </w:pPr>
            <w:r>
              <w:rPr>
                <w:sz w:val="22"/>
              </w:rPr>
              <w:t>TERRITORIALIDAD QUECHUA</w:t>
            </w:r>
          </w:p>
        </w:tc>
        <w:tc>
          <w:tcPr>
            <w:tcW w:w="476" w:type="dxa"/>
          </w:tcPr>
          <w:p>
            <w:pPr>
              <w:pStyle w:val="TableParagraph"/>
              <w:spacing w:line="248" w:lineRule="exact"/>
              <w:ind w:left="200"/>
              <w:rPr>
                <w:sz w:val="22"/>
              </w:rPr>
            </w:pPr>
            <w:r>
              <w:rPr>
                <w:sz w:val="22"/>
              </w:rPr>
              <w:t>34</w:t>
            </w:r>
          </w:p>
        </w:tc>
      </w:tr>
      <w:tr>
        <w:trPr>
          <w:trHeight w:val="267" w:hRule="atLeast"/>
        </w:trPr>
        <w:tc>
          <w:tcPr>
            <w:tcW w:w="739" w:type="dxa"/>
          </w:tcPr>
          <w:p>
            <w:pPr>
              <w:pStyle w:val="TableParagraph"/>
              <w:spacing w:line="247" w:lineRule="exact"/>
              <w:ind w:left="50"/>
              <w:rPr>
                <w:sz w:val="22"/>
              </w:rPr>
            </w:pPr>
            <w:r>
              <w:rPr>
                <w:sz w:val="22"/>
              </w:rPr>
              <w:t>6.2.3.</w:t>
            </w:r>
          </w:p>
        </w:tc>
        <w:tc>
          <w:tcPr>
            <w:tcW w:w="6900" w:type="dxa"/>
          </w:tcPr>
          <w:p>
            <w:pPr>
              <w:pStyle w:val="TableParagraph"/>
              <w:spacing w:line="247" w:lineRule="exact"/>
              <w:ind w:left="1435"/>
              <w:rPr>
                <w:sz w:val="22"/>
              </w:rPr>
            </w:pPr>
            <w:r>
              <w:rPr>
                <w:sz w:val="22"/>
              </w:rPr>
              <w:t>TERRITORIALIDAD PLURINACIONAL</w:t>
            </w:r>
          </w:p>
        </w:tc>
        <w:tc>
          <w:tcPr>
            <w:tcW w:w="476" w:type="dxa"/>
          </w:tcPr>
          <w:p>
            <w:pPr>
              <w:pStyle w:val="TableParagraph"/>
              <w:spacing w:line="247" w:lineRule="exact"/>
              <w:ind w:left="200"/>
              <w:rPr>
                <w:sz w:val="22"/>
              </w:rPr>
            </w:pPr>
            <w:r>
              <w:rPr>
                <w:sz w:val="22"/>
              </w:rPr>
              <w:t>37</w:t>
            </w:r>
          </w:p>
        </w:tc>
      </w:tr>
      <w:tr>
        <w:trPr>
          <w:trHeight w:val="268" w:hRule="atLeast"/>
        </w:trPr>
        <w:tc>
          <w:tcPr>
            <w:tcW w:w="739" w:type="dxa"/>
          </w:tcPr>
          <w:p>
            <w:pPr>
              <w:pStyle w:val="TableParagraph"/>
              <w:spacing w:line="249" w:lineRule="exact"/>
              <w:ind w:left="50"/>
              <w:rPr>
                <w:sz w:val="22"/>
              </w:rPr>
            </w:pPr>
            <w:r>
              <w:rPr>
                <w:sz w:val="22"/>
              </w:rPr>
              <w:t>6.2.4.</w:t>
            </w:r>
          </w:p>
        </w:tc>
        <w:tc>
          <w:tcPr>
            <w:tcW w:w="6900" w:type="dxa"/>
          </w:tcPr>
          <w:p>
            <w:pPr>
              <w:pStyle w:val="TableParagraph"/>
              <w:spacing w:line="249" w:lineRule="exact"/>
              <w:ind w:left="1435"/>
              <w:rPr>
                <w:sz w:val="22"/>
              </w:rPr>
            </w:pPr>
            <w:r>
              <w:rPr>
                <w:sz w:val="22"/>
              </w:rPr>
              <w:t>TERRITORILIDAD DEL TAWANTINSUYO / ABIAYALA</w:t>
            </w:r>
          </w:p>
        </w:tc>
        <w:tc>
          <w:tcPr>
            <w:tcW w:w="476" w:type="dxa"/>
          </w:tcPr>
          <w:p>
            <w:pPr>
              <w:pStyle w:val="TableParagraph"/>
              <w:spacing w:line="249" w:lineRule="exact"/>
              <w:ind w:left="200"/>
              <w:rPr>
                <w:sz w:val="22"/>
              </w:rPr>
            </w:pPr>
            <w:r>
              <w:rPr>
                <w:sz w:val="22"/>
              </w:rPr>
              <w:t>38</w:t>
            </w:r>
          </w:p>
        </w:tc>
      </w:tr>
      <w:tr>
        <w:trPr>
          <w:trHeight w:val="268" w:hRule="atLeast"/>
        </w:trPr>
        <w:tc>
          <w:tcPr>
            <w:tcW w:w="739" w:type="dxa"/>
          </w:tcPr>
          <w:p>
            <w:pPr>
              <w:pStyle w:val="TableParagraph"/>
              <w:spacing w:line="249" w:lineRule="exact"/>
              <w:ind w:left="50"/>
              <w:rPr>
                <w:sz w:val="22"/>
              </w:rPr>
            </w:pPr>
            <w:r>
              <w:rPr>
                <w:sz w:val="22"/>
              </w:rPr>
              <w:t>6.3.</w:t>
            </w:r>
          </w:p>
        </w:tc>
        <w:tc>
          <w:tcPr>
            <w:tcW w:w="6900" w:type="dxa"/>
          </w:tcPr>
          <w:p>
            <w:pPr>
              <w:pStyle w:val="TableParagraph"/>
              <w:spacing w:line="249" w:lineRule="exact"/>
              <w:ind w:left="1435"/>
              <w:rPr>
                <w:sz w:val="22"/>
              </w:rPr>
            </w:pPr>
            <w:r>
              <w:rPr>
                <w:sz w:val="22"/>
              </w:rPr>
              <w:t>IMPLEMENTACION POR DIMENSION/LINEA DE ACCION</w:t>
            </w:r>
          </w:p>
        </w:tc>
        <w:tc>
          <w:tcPr>
            <w:tcW w:w="476" w:type="dxa"/>
          </w:tcPr>
          <w:p>
            <w:pPr>
              <w:pStyle w:val="TableParagraph"/>
              <w:spacing w:line="249" w:lineRule="exact"/>
              <w:ind w:left="200"/>
              <w:rPr>
                <w:sz w:val="22"/>
              </w:rPr>
            </w:pPr>
            <w:r>
              <w:rPr>
                <w:sz w:val="22"/>
              </w:rPr>
              <w:t>39</w:t>
            </w:r>
          </w:p>
        </w:tc>
      </w:tr>
      <w:tr>
        <w:trPr>
          <w:trHeight w:val="268" w:hRule="atLeast"/>
        </w:trPr>
        <w:tc>
          <w:tcPr>
            <w:tcW w:w="739" w:type="dxa"/>
          </w:tcPr>
          <w:p>
            <w:pPr>
              <w:pStyle w:val="TableParagraph"/>
              <w:spacing w:line="249" w:lineRule="exact"/>
              <w:ind w:left="50"/>
              <w:rPr>
                <w:sz w:val="22"/>
              </w:rPr>
            </w:pPr>
            <w:r>
              <w:rPr>
                <w:sz w:val="22"/>
              </w:rPr>
              <w:t>6.3.1.</w:t>
            </w:r>
          </w:p>
        </w:tc>
        <w:tc>
          <w:tcPr>
            <w:tcW w:w="6900" w:type="dxa"/>
          </w:tcPr>
          <w:p>
            <w:pPr>
              <w:pStyle w:val="TableParagraph"/>
              <w:spacing w:line="249" w:lineRule="exact"/>
              <w:ind w:left="1435"/>
              <w:rPr>
                <w:sz w:val="22"/>
              </w:rPr>
            </w:pPr>
            <w:r>
              <w:rPr>
                <w:sz w:val="22"/>
              </w:rPr>
              <w:t>NIVEL INSTITUCIONAL</w:t>
            </w:r>
          </w:p>
        </w:tc>
        <w:tc>
          <w:tcPr>
            <w:tcW w:w="476" w:type="dxa"/>
          </w:tcPr>
          <w:p>
            <w:pPr>
              <w:pStyle w:val="TableParagraph"/>
              <w:spacing w:line="249" w:lineRule="exact"/>
              <w:ind w:left="200"/>
              <w:rPr>
                <w:sz w:val="22"/>
              </w:rPr>
            </w:pPr>
            <w:r>
              <w:rPr>
                <w:sz w:val="22"/>
              </w:rPr>
              <w:t>40</w:t>
            </w:r>
          </w:p>
        </w:tc>
      </w:tr>
      <w:tr>
        <w:trPr>
          <w:trHeight w:val="268" w:hRule="atLeast"/>
        </w:trPr>
        <w:tc>
          <w:tcPr>
            <w:tcW w:w="739" w:type="dxa"/>
          </w:tcPr>
          <w:p>
            <w:pPr>
              <w:pStyle w:val="TableParagraph"/>
              <w:spacing w:line="249" w:lineRule="exact"/>
              <w:ind w:left="50"/>
              <w:rPr>
                <w:sz w:val="22"/>
              </w:rPr>
            </w:pPr>
            <w:r>
              <w:rPr>
                <w:sz w:val="22"/>
              </w:rPr>
              <w:t>6.3.1.1.</w:t>
            </w:r>
          </w:p>
        </w:tc>
        <w:tc>
          <w:tcPr>
            <w:tcW w:w="6900" w:type="dxa"/>
          </w:tcPr>
          <w:p>
            <w:pPr>
              <w:pStyle w:val="TableParagraph"/>
              <w:spacing w:line="249" w:lineRule="exact"/>
              <w:ind w:left="2143"/>
              <w:rPr>
                <w:sz w:val="22"/>
              </w:rPr>
            </w:pPr>
            <w:r>
              <w:rPr>
                <w:sz w:val="22"/>
              </w:rPr>
              <w:t>DIMENSION YACHAY</w:t>
            </w:r>
          </w:p>
        </w:tc>
        <w:tc>
          <w:tcPr>
            <w:tcW w:w="476" w:type="dxa"/>
          </w:tcPr>
          <w:p>
            <w:pPr>
              <w:pStyle w:val="TableParagraph"/>
              <w:spacing w:line="249" w:lineRule="exact"/>
              <w:ind w:left="200"/>
              <w:rPr>
                <w:sz w:val="22"/>
              </w:rPr>
            </w:pPr>
            <w:r>
              <w:rPr>
                <w:sz w:val="22"/>
              </w:rPr>
              <w:t>40</w:t>
            </w:r>
          </w:p>
        </w:tc>
      </w:tr>
      <w:tr>
        <w:trPr>
          <w:trHeight w:val="268" w:hRule="atLeast"/>
        </w:trPr>
        <w:tc>
          <w:tcPr>
            <w:tcW w:w="739" w:type="dxa"/>
          </w:tcPr>
          <w:p>
            <w:pPr>
              <w:pStyle w:val="TableParagraph"/>
              <w:spacing w:line="249" w:lineRule="exact"/>
              <w:ind w:left="50"/>
              <w:rPr>
                <w:sz w:val="22"/>
              </w:rPr>
            </w:pPr>
            <w:r>
              <w:rPr>
                <w:sz w:val="22"/>
              </w:rPr>
              <w:t>6.3.1.2.</w:t>
            </w:r>
          </w:p>
        </w:tc>
        <w:tc>
          <w:tcPr>
            <w:tcW w:w="6900" w:type="dxa"/>
          </w:tcPr>
          <w:p>
            <w:pPr>
              <w:pStyle w:val="TableParagraph"/>
              <w:spacing w:line="249" w:lineRule="exact"/>
              <w:ind w:left="2143"/>
              <w:rPr>
                <w:sz w:val="22"/>
              </w:rPr>
            </w:pPr>
            <w:r>
              <w:rPr>
                <w:sz w:val="22"/>
              </w:rPr>
              <w:t>DIMENSION ATIY</w:t>
            </w:r>
          </w:p>
        </w:tc>
        <w:tc>
          <w:tcPr>
            <w:tcW w:w="476" w:type="dxa"/>
          </w:tcPr>
          <w:p>
            <w:pPr>
              <w:pStyle w:val="TableParagraph"/>
              <w:spacing w:line="249" w:lineRule="exact"/>
              <w:ind w:left="200"/>
              <w:rPr>
                <w:sz w:val="22"/>
              </w:rPr>
            </w:pPr>
            <w:r>
              <w:rPr>
                <w:sz w:val="22"/>
              </w:rPr>
              <w:t>51</w:t>
            </w:r>
          </w:p>
        </w:tc>
      </w:tr>
      <w:tr>
        <w:trPr>
          <w:trHeight w:val="269" w:hRule="atLeast"/>
        </w:trPr>
        <w:tc>
          <w:tcPr>
            <w:tcW w:w="739" w:type="dxa"/>
          </w:tcPr>
          <w:p>
            <w:pPr>
              <w:pStyle w:val="TableParagraph"/>
              <w:spacing w:line="249" w:lineRule="exact"/>
              <w:ind w:left="50"/>
              <w:rPr>
                <w:sz w:val="22"/>
              </w:rPr>
            </w:pPr>
            <w:r>
              <w:rPr>
                <w:sz w:val="22"/>
              </w:rPr>
              <w:t>6.3.1.3.</w:t>
            </w:r>
          </w:p>
        </w:tc>
        <w:tc>
          <w:tcPr>
            <w:tcW w:w="6900" w:type="dxa"/>
          </w:tcPr>
          <w:p>
            <w:pPr>
              <w:pStyle w:val="TableParagraph"/>
              <w:spacing w:line="249" w:lineRule="exact"/>
              <w:ind w:left="2143"/>
              <w:rPr>
                <w:sz w:val="22"/>
              </w:rPr>
            </w:pPr>
            <w:r>
              <w:rPr>
                <w:sz w:val="22"/>
              </w:rPr>
              <w:t>DIMENSION RUWAY</w:t>
            </w:r>
          </w:p>
        </w:tc>
        <w:tc>
          <w:tcPr>
            <w:tcW w:w="476" w:type="dxa"/>
          </w:tcPr>
          <w:p>
            <w:pPr>
              <w:pStyle w:val="TableParagraph"/>
              <w:spacing w:line="249" w:lineRule="exact"/>
              <w:ind w:left="200"/>
              <w:rPr>
                <w:sz w:val="22"/>
              </w:rPr>
            </w:pPr>
            <w:r>
              <w:rPr>
                <w:sz w:val="22"/>
              </w:rPr>
              <w:t>57</w:t>
            </w:r>
          </w:p>
        </w:tc>
      </w:tr>
      <w:tr>
        <w:trPr>
          <w:trHeight w:val="269" w:hRule="atLeast"/>
        </w:trPr>
        <w:tc>
          <w:tcPr>
            <w:tcW w:w="739" w:type="dxa"/>
          </w:tcPr>
          <w:p>
            <w:pPr>
              <w:pStyle w:val="TableParagraph"/>
              <w:spacing w:line="249" w:lineRule="exact"/>
              <w:ind w:left="50"/>
              <w:rPr>
                <w:sz w:val="22"/>
              </w:rPr>
            </w:pPr>
            <w:r>
              <w:rPr>
                <w:sz w:val="22"/>
              </w:rPr>
              <w:t>6.3.1.4.</w:t>
            </w:r>
          </w:p>
        </w:tc>
        <w:tc>
          <w:tcPr>
            <w:tcW w:w="6900" w:type="dxa"/>
          </w:tcPr>
          <w:p>
            <w:pPr>
              <w:pStyle w:val="TableParagraph"/>
              <w:spacing w:line="249" w:lineRule="exact"/>
              <w:ind w:left="2193"/>
              <w:rPr>
                <w:sz w:val="22"/>
              </w:rPr>
            </w:pPr>
            <w:r>
              <w:rPr>
                <w:sz w:val="22"/>
              </w:rPr>
              <w:t>DIMENSION MUNAY</w:t>
            </w:r>
          </w:p>
        </w:tc>
        <w:tc>
          <w:tcPr>
            <w:tcW w:w="476" w:type="dxa"/>
          </w:tcPr>
          <w:p>
            <w:pPr>
              <w:pStyle w:val="TableParagraph"/>
              <w:spacing w:line="249" w:lineRule="exact"/>
              <w:ind w:left="200"/>
              <w:rPr>
                <w:sz w:val="22"/>
              </w:rPr>
            </w:pPr>
            <w:r>
              <w:rPr>
                <w:sz w:val="22"/>
              </w:rPr>
              <w:t>67</w:t>
            </w:r>
          </w:p>
        </w:tc>
      </w:tr>
      <w:tr>
        <w:trPr>
          <w:trHeight w:val="268" w:hRule="atLeast"/>
        </w:trPr>
        <w:tc>
          <w:tcPr>
            <w:tcW w:w="739" w:type="dxa"/>
          </w:tcPr>
          <w:p>
            <w:pPr>
              <w:pStyle w:val="TableParagraph"/>
              <w:spacing w:line="249" w:lineRule="exact"/>
              <w:ind w:left="50"/>
              <w:rPr>
                <w:sz w:val="22"/>
              </w:rPr>
            </w:pPr>
            <w:r>
              <w:rPr>
                <w:sz w:val="22"/>
              </w:rPr>
              <w:t>6.4.</w:t>
            </w:r>
          </w:p>
        </w:tc>
        <w:tc>
          <w:tcPr>
            <w:tcW w:w="6900" w:type="dxa"/>
          </w:tcPr>
          <w:p>
            <w:pPr>
              <w:pStyle w:val="TableParagraph"/>
              <w:spacing w:line="249" w:lineRule="exact"/>
              <w:ind w:left="726"/>
              <w:rPr>
                <w:sz w:val="22"/>
              </w:rPr>
            </w:pPr>
            <w:r>
              <w:rPr>
                <w:sz w:val="22"/>
              </w:rPr>
              <w:t>CRONOGRAMA</w:t>
            </w:r>
          </w:p>
        </w:tc>
        <w:tc>
          <w:tcPr>
            <w:tcW w:w="476" w:type="dxa"/>
          </w:tcPr>
          <w:p>
            <w:pPr>
              <w:pStyle w:val="TableParagraph"/>
              <w:spacing w:line="249" w:lineRule="exact"/>
              <w:ind w:left="200"/>
              <w:rPr>
                <w:sz w:val="22"/>
              </w:rPr>
            </w:pPr>
            <w:r>
              <w:rPr>
                <w:sz w:val="22"/>
              </w:rPr>
              <w:t>68</w:t>
            </w:r>
          </w:p>
        </w:tc>
      </w:tr>
      <w:tr>
        <w:trPr>
          <w:trHeight w:val="267" w:hRule="atLeast"/>
        </w:trPr>
        <w:tc>
          <w:tcPr>
            <w:tcW w:w="739" w:type="dxa"/>
          </w:tcPr>
          <w:p>
            <w:pPr>
              <w:pStyle w:val="TableParagraph"/>
              <w:spacing w:line="248" w:lineRule="exact"/>
              <w:ind w:left="50"/>
              <w:rPr>
                <w:sz w:val="22"/>
              </w:rPr>
            </w:pPr>
            <w:r>
              <w:rPr>
                <w:sz w:val="22"/>
              </w:rPr>
              <w:t>7.</w:t>
            </w:r>
          </w:p>
        </w:tc>
        <w:tc>
          <w:tcPr>
            <w:tcW w:w="6900" w:type="dxa"/>
          </w:tcPr>
          <w:p>
            <w:pPr>
              <w:pStyle w:val="TableParagraph"/>
              <w:spacing w:line="248" w:lineRule="exact"/>
              <w:ind w:left="18"/>
              <w:rPr>
                <w:sz w:val="22"/>
              </w:rPr>
            </w:pPr>
            <w:r>
              <w:rPr>
                <w:sz w:val="22"/>
              </w:rPr>
              <w:t>PRESUPUESTO</w:t>
            </w:r>
          </w:p>
        </w:tc>
        <w:tc>
          <w:tcPr>
            <w:tcW w:w="476" w:type="dxa"/>
          </w:tcPr>
          <w:p>
            <w:pPr>
              <w:pStyle w:val="TableParagraph"/>
              <w:spacing w:line="248" w:lineRule="exact"/>
              <w:ind w:left="200"/>
              <w:rPr>
                <w:sz w:val="22"/>
              </w:rPr>
            </w:pPr>
            <w:r>
              <w:rPr>
                <w:sz w:val="22"/>
              </w:rPr>
              <w:t>73</w:t>
            </w:r>
          </w:p>
        </w:tc>
      </w:tr>
      <w:tr>
        <w:trPr>
          <w:trHeight w:val="243" w:hRule="atLeast"/>
        </w:trPr>
        <w:tc>
          <w:tcPr>
            <w:tcW w:w="739" w:type="dxa"/>
          </w:tcPr>
          <w:p>
            <w:pPr>
              <w:pStyle w:val="TableParagraph"/>
              <w:spacing w:line="224" w:lineRule="exact"/>
              <w:ind w:left="50"/>
              <w:rPr>
                <w:sz w:val="22"/>
              </w:rPr>
            </w:pPr>
            <w:r>
              <w:rPr>
                <w:sz w:val="22"/>
              </w:rPr>
              <w:t>8.</w:t>
            </w:r>
          </w:p>
        </w:tc>
        <w:tc>
          <w:tcPr>
            <w:tcW w:w="6900" w:type="dxa"/>
          </w:tcPr>
          <w:p>
            <w:pPr>
              <w:pStyle w:val="TableParagraph"/>
              <w:spacing w:line="224" w:lineRule="exact"/>
              <w:ind w:left="18"/>
              <w:rPr>
                <w:sz w:val="22"/>
              </w:rPr>
            </w:pPr>
            <w:r>
              <w:rPr>
                <w:sz w:val="22"/>
              </w:rPr>
              <w:t>ANEXOS</w:t>
            </w:r>
          </w:p>
        </w:tc>
        <w:tc>
          <w:tcPr>
            <w:tcW w:w="476" w:type="dxa"/>
          </w:tcPr>
          <w:p>
            <w:pPr>
              <w:pStyle w:val="TableParagraph"/>
              <w:spacing w:line="224" w:lineRule="exact"/>
              <w:ind w:left="200"/>
              <w:rPr>
                <w:sz w:val="22"/>
              </w:rPr>
            </w:pPr>
            <w:r>
              <w:rPr>
                <w:sz w:val="22"/>
              </w:rPr>
              <w:t>79</w:t>
            </w:r>
          </w:p>
        </w:tc>
      </w:tr>
    </w:tbl>
    <w:p>
      <w:pPr>
        <w:spacing w:after="0" w:line="224" w:lineRule="exact"/>
        <w:rPr>
          <w:sz w:val="22"/>
        </w:rPr>
        <w:sectPr>
          <w:footerReference w:type="default" r:id="rId22"/>
          <w:pgSz w:w="11910" w:h="16840"/>
          <w:pgMar w:footer="922" w:header="0" w:top="1380" w:bottom="1120" w:left="620" w:right="280"/>
          <w:pgNumType w:start="2"/>
        </w:sectPr>
      </w:pPr>
    </w:p>
    <w:p>
      <w:pPr>
        <w:pStyle w:val="BodyText"/>
        <w:spacing w:before="6"/>
        <w:rPr>
          <w:rFonts w:ascii="Calibri"/>
          <w:b/>
          <w:sz w:val="17"/>
        </w:rPr>
      </w:pPr>
    </w:p>
    <w:p>
      <w:pPr>
        <w:pStyle w:val="Heading3"/>
        <w:spacing w:before="92"/>
        <w:ind w:left="736" w:right="493"/>
        <w:jc w:val="center"/>
      </w:pPr>
      <w:r>
        <w:rPr/>
        <w:t>INTRODUCCIÓN</w:t>
      </w:r>
    </w:p>
    <w:p>
      <w:pPr>
        <w:pStyle w:val="BodyText"/>
        <w:rPr>
          <w:b/>
          <w:sz w:val="26"/>
        </w:rPr>
      </w:pPr>
    </w:p>
    <w:p>
      <w:pPr>
        <w:pStyle w:val="BodyText"/>
        <w:spacing w:line="276" w:lineRule="auto" w:before="222"/>
        <w:ind w:left="1442" w:right="849"/>
        <w:jc w:val="both"/>
      </w:pPr>
      <w:r>
        <w:rPr/>
        <w:t>El documento presenta el Plan Estratégico Institucional (PEI) de la Universidad Indígena Boliviana Quechua “Casimiro Huanca”, en su proyección 2016 a 2020. El presente PEI está organizado en siete secciones, la primera referida a los antecedentes de creación de la institución, la segunda referida a los principios y valores que rigen en esta casa superior de estudios, la tercera refleja el análisis base a partir del cual se proyecta el plan, la cuarta describe el escenario político social en el que se desarrollarán las acciones, la quinta describe la fundamentación y marco de referencia, incluyendo los principales objetivos propuestos para la</w:t>
      </w:r>
      <w:r>
        <w:rPr>
          <w:spacing w:val="-3"/>
        </w:rPr>
        <w:t> </w:t>
      </w:r>
      <w:r>
        <w:rPr/>
        <w:t>institución.</w:t>
      </w:r>
    </w:p>
    <w:p>
      <w:pPr>
        <w:pStyle w:val="BodyText"/>
        <w:spacing w:line="276" w:lineRule="auto" w:before="199"/>
        <w:ind w:left="1442" w:right="846"/>
        <w:jc w:val="both"/>
      </w:pPr>
      <w:r>
        <w:rPr/>
        <w:t>Posteriormente la sexta hace referencia a la estrategia de implementación de doble abordaje por dimensiones y niveles, los que contempla los resultados esperados, indicadores y actividades trazadas para cada objetivo y líneas de acción. La última, detalla cronograma y presupuestos requerido para la ejecución.</w:t>
      </w:r>
    </w:p>
    <w:p>
      <w:pPr>
        <w:pStyle w:val="BodyText"/>
        <w:spacing w:line="276" w:lineRule="auto" w:before="199"/>
        <w:ind w:left="1442" w:right="850"/>
        <w:jc w:val="both"/>
      </w:pPr>
      <w:r>
        <w:rPr/>
        <w:t>El presente documento pretende ser una guía para un periodo de adecuación que permita acompañar eficazmente a los desafíos de consolidación del Estado Plurinacional y la construcción de sus bases económicas, con una proyección institucional quinquenal y de largo</w:t>
      </w:r>
      <w:r>
        <w:rPr>
          <w:spacing w:val="-4"/>
        </w:rPr>
        <w:t> </w:t>
      </w:r>
      <w:r>
        <w:rPr/>
        <w:t>plazo.</w:t>
      </w:r>
    </w:p>
    <w:p>
      <w:pPr>
        <w:spacing w:after="0" w:line="276" w:lineRule="auto"/>
        <w:jc w:val="both"/>
        <w:sectPr>
          <w:pgSz w:w="11910" w:h="16840"/>
          <w:pgMar w:header="0" w:footer="922" w:top="1580" w:bottom="1200" w:left="620" w:right="280"/>
        </w:sectPr>
      </w:pPr>
    </w:p>
    <w:p>
      <w:pPr>
        <w:pStyle w:val="BodyText"/>
        <w:spacing w:before="4"/>
      </w:pPr>
    </w:p>
    <w:p>
      <w:pPr>
        <w:pStyle w:val="Heading3"/>
        <w:numPr>
          <w:ilvl w:val="0"/>
          <w:numId w:val="1"/>
        </w:numPr>
        <w:tabs>
          <w:tab w:pos="1513" w:val="left" w:leader="none"/>
          <w:tab w:pos="1514" w:val="left" w:leader="none"/>
        </w:tabs>
        <w:spacing w:line="240" w:lineRule="auto" w:before="93" w:after="0"/>
        <w:ind w:left="1514" w:right="0" w:hanging="432"/>
        <w:jc w:val="left"/>
      </w:pPr>
      <w:r>
        <w:rPr/>
        <w:t>ANTECEDENTES</w:t>
      </w:r>
    </w:p>
    <w:p>
      <w:pPr>
        <w:pStyle w:val="BodyText"/>
        <w:spacing w:line="276" w:lineRule="auto" w:before="103"/>
        <w:ind w:left="1082" w:right="852"/>
        <w:jc w:val="both"/>
      </w:pPr>
      <w:r>
        <w:rPr/>
        <w:t>La historia de la invasión europea a nuestro continente, no solo ha sido una invasión material, tangible, sino también ha tenido sus características intangibles, cultural, espiritual, intelectual etc. Es así que los sistemas de principios y valores en los que estaban basadas las culturas y los estados de este continente fueron aplastados y pasados a niveles de ilegalidad y clandestinidad. Los sistemas científicos tecnológicos que las culturas originarias habían desarrollado hasta entonces, fueron sustituidos por las importadas de Europa e impuestos a base de sistemas jurídicos colonizantes. Es así que la educación superior, al igual que el resto del sistema educativo, está encargado a la iglesia católica, de allí nacen las primeras universidades en Bolivia con sus carreras relacionadas a la teología como parte de sus primeras facultades y su visión occidentalizada de las ciencias.</w:t>
      </w:r>
    </w:p>
    <w:p>
      <w:pPr>
        <w:pStyle w:val="BodyText"/>
        <w:spacing w:line="276" w:lineRule="auto" w:before="201"/>
        <w:ind w:left="1082" w:right="848"/>
        <w:jc w:val="both"/>
      </w:pPr>
      <w:r>
        <w:rPr/>
        <w:t>Ha sido la Santa Inquisición la encargada de extirpar las idolatrías y esta misma la encargada de hacer desaparecer a todos los sabios y sabias ancestrales, de la misma manera la documentación de diverso tipo de los diversos adelantos científicos tecnológicos en todos los campos de la vida de nuestros ancestros, en algunos casos han logrado hacer desaparecerlos casi por</w:t>
      </w:r>
      <w:r>
        <w:rPr>
          <w:spacing w:val="-6"/>
        </w:rPr>
        <w:t> </w:t>
      </w:r>
      <w:r>
        <w:rPr/>
        <w:t>completo.</w:t>
      </w:r>
    </w:p>
    <w:p>
      <w:pPr>
        <w:pStyle w:val="BodyText"/>
        <w:spacing w:line="276" w:lineRule="auto" w:before="199"/>
        <w:ind w:left="1082" w:right="855"/>
        <w:jc w:val="both"/>
      </w:pPr>
      <w:r>
        <w:rPr/>
        <w:t>¿Qué es lo que representaba esas sabidurías y tecnologías ancestrales? No otra cosa que la visión de otras formas de vida, otros modelos de sociedad y estado, totalmente diferentes a los modelos capitalistas que hoy dominan el planeta. Hoy en día, los grandes adelantos tecnológicos del mundo occidental, están haciendo posible también las grandes catástrofes que amenazan la vida de las especies del planeta y la vida misma del</w:t>
      </w:r>
      <w:r>
        <w:rPr>
          <w:spacing w:val="-4"/>
        </w:rPr>
        <w:t> </w:t>
      </w:r>
      <w:r>
        <w:rPr/>
        <w:t>planeta.</w:t>
      </w:r>
    </w:p>
    <w:p>
      <w:pPr>
        <w:pStyle w:val="BodyText"/>
        <w:spacing w:line="276" w:lineRule="auto" w:before="200"/>
        <w:ind w:left="1082" w:right="855"/>
        <w:jc w:val="both"/>
      </w:pPr>
      <w:r>
        <w:rPr/>
        <w:t>Hasta antes de la creación del Estado Plurinacional, la educación en Bolivia era discriminativa, racista y excluyente, de la misma manera la educación superior era negada a los pueblos indígenas originarios campesinos; fruto de ese sistema educativo es que todavía en el campo, la gran mayoría de la población, no ha llegado a terminar su bachillerato, en el caso de las mujeres ni siquiera la escuela, y peor hablar de la educación superior. Recién con la creación del nuevo Estado, también se hace posible las oportunidades de acceso a la educación y en particular de la educación</w:t>
      </w:r>
      <w:r>
        <w:rPr>
          <w:spacing w:val="-4"/>
        </w:rPr>
        <w:t> </w:t>
      </w:r>
      <w:r>
        <w:rPr/>
        <w:t>superior.</w:t>
      </w:r>
    </w:p>
    <w:p>
      <w:pPr>
        <w:pStyle w:val="BodyText"/>
        <w:spacing w:line="276" w:lineRule="auto" w:before="200"/>
        <w:ind w:left="1082" w:right="854"/>
        <w:jc w:val="both"/>
      </w:pPr>
      <w:r>
        <w:rPr/>
        <w:t>En nuestros días, todavía la educación universitaria, está basada en el principio monocultural del conocimiento universal, que desconoce y descalifica las formas de conocimientos, sabidurías y comprensión de la realidad de los pueblos indígenas originarios campesinos. Si bien un porcentaje mínimo de jóvenes indígenas fueron incorporados en las universidades públicas y privadas, esto resultó en la alienación y pérdida de identidad cultural de los mismos, además la priorización de los intereses individuales e individualistas, la visión predominantemente mercantil del conocimiento</w:t>
      </w:r>
      <w:r>
        <w:rPr>
          <w:spacing w:val="37"/>
        </w:rPr>
        <w:t> </w:t>
      </w:r>
      <w:r>
        <w:rPr/>
        <w:t>que</w:t>
      </w:r>
      <w:r>
        <w:rPr>
          <w:spacing w:val="35"/>
        </w:rPr>
        <w:t> </w:t>
      </w:r>
      <w:r>
        <w:rPr/>
        <w:t>ha</w:t>
      </w:r>
      <w:r>
        <w:rPr>
          <w:spacing w:val="36"/>
        </w:rPr>
        <w:t> </w:t>
      </w:r>
      <w:r>
        <w:rPr/>
        <w:t>hecho</w:t>
      </w:r>
      <w:r>
        <w:rPr>
          <w:spacing w:val="37"/>
        </w:rPr>
        <w:t> </w:t>
      </w:r>
      <w:r>
        <w:rPr/>
        <w:t>posible</w:t>
      </w:r>
      <w:r>
        <w:rPr>
          <w:spacing w:val="38"/>
        </w:rPr>
        <w:t> </w:t>
      </w:r>
      <w:r>
        <w:rPr/>
        <w:t>que</w:t>
      </w:r>
      <w:r>
        <w:rPr>
          <w:spacing w:val="35"/>
        </w:rPr>
        <w:t> </w:t>
      </w:r>
      <w:r>
        <w:rPr/>
        <w:t>los</w:t>
      </w:r>
      <w:r>
        <w:rPr>
          <w:spacing w:val="38"/>
        </w:rPr>
        <w:t> </w:t>
      </w:r>
      <w:r>
        <w:rPr/>
        <w:t>jóvenes</w:t>
      </w:r>
      <w:r>
        <w:rPr>
          <w:spacing w:val="37"/>
        </w:rPr>
        <w:t> </w:t>
      </w:r>
      <w:r>
        <w:rPr/>
        <w:t>ya</w:t>
      </w:r>
      <w:r>
        <w:rPr>
          <w:spacing w:val="37"/>
        </w:rPr>
        <w:t> </w:t>
      </w:r>
      <w:r>
        <w:rPr/>
        <w:t>no</w:t>
      </w:r>
      <w:r>
        <w:rPr>
          <w:spacing w:val="36"/>
        </w:rPr>
        <w:t> </w:t>
      </w:r>
      <w:r>
        <w:rPr/>
        <w:t>regresen</w:t>
      </w:r>
      <w:r>
        <w:rPr>
          <w:spacing w:val="38"/>
        </w:rPr>
        <w:t> </w:t>
      </w:r>
      <w:r>
        <w:rPr/>
        <w:t>a</w:t>
      </w:r>
      <w:r>
        <w:rPr>
          <w:spacing w:val="37"/>
        </w:rPr>
        <w:t> </w:t>
      </w:r>
      <w:r>
        <w:rPr/>
        <w:t>sus</w:t>
      </w:r>
    </w:p>
    <w:p>
      <w:pPr>
        <w:spacing w:after="0" w:line="276" w:lineRule="auto"/>
        <w:jc w:val="both"/>
        <w:sectPr>
          <w:pgSz w:w="11910" w:h="16840"/>
          <w:pgMar w:header="0" w:footer="922" w:top="1580" w:bottom="1200" w:left="620" w:right="280"/>
        </w:sectPr>
      </w:pPr>
    </w:p>
    <w:p>
      <w:pPr>
        <w:pStyle w:val="BodyText"/>
        <w:spacing w:line="276" w:lineRule="auto" w:before="76"/>
        <w:ind w:left="1082" w:right="852"/>
        <w:jc w:val="both"/>
      </w:pPr>
      <w:r>
        <w:rPr/>
        <w:t>comunidades sino más bien engrosen el ejercito de empleados o desempleados de las urbes capitalinas, en vez de constituirse en emprendedores de sus propias culturas.</w:t>
      </w:r>
    </w:p>
    <w:p>
      <w:pPr>
        <w:pStyle w:val="BodyText"/>
        <w:spacing w:line="276" w:lineRule="auto" w:before="200"/>
        <w:ind w:left="1082" w:right="848"/>
        <w:jc w:val="both"/>
      </w:pPr>
      <w:r>
        <w:rPr/>
        <w:t>La creación de la Universidad Indígena Quechua “Casimiro Huanca” responde a la necesidad no solamente de generar acceso a la universidad para los quechuas marginados, más bien nace de la necesidad de contar con un espacio propio para desarrollar su propia cosmovisión y visión de las ciencias que esté directamente relacionado a la visión de la vida de la nación quechua, con la urgente necesidad de construir el Estado Plurinacional con identidad propia y con la misión de generar Sumaj kawsay no solamente para los quechuas sino para el conjunto de los habitantes del Estado Plurinacional boliviano. De esta manera la Universidad Indígena, no es solo una universidad, sino más bien el espacio de la educación superior quechua que permita retomar en tiempos actuales, las sabidurías de los sabios ancestrales y retomar las prácticas tecnológicas científicas de nuestros abuelos, aplicadas a la realidad de los tiempos presentes y futuros para mostrar otros horizontes de vida para la humanidad y el</w:t>
      </w:r>
      <w:r>
        <w:rPr>
          <w:spacing w:val="-10"/>
        </w:rPr>
        <w:t> </w:t>
      </w:r>
      <w:r>
        <w:rPr/>
        <w:t>planeta.</w:t>
      </w:r>
    </w:p>
    <w:p>
      <w:pPr>
        <w:pStyle w:val="BodyText"/>
        <w:spacing w:line="276" w:lineRule="auto" w:before="202"/>
        <w:ind w:left="1082" w:right="846"/>
        <w:jc w:val="both"/>
      </w:pPr>
      <w:r>
        <w:rPr/>
        <w:t>La realidad nos está mostrando que la universidad indígena quechua, todavía no ha logrado tomar un rumbo de identidad científica tecnológica vinculada a los interés como Nación Quechua; existe el reclamo de las organizaciones indígenas originarias campesinas IOCs quechuas de retomar el rumbo orgánico de la universidad a partir de generar una comunión entre las organizaciones quechuas y su estamento académico de su universidad indígena. Todavía domina el imaginario académico, los modelos de autonomía universitaria republicana, </w:t>
      </w:r>
      <w:r>
        <w:rPr>
          <w:spacing w:val="2"/>
        </w:rPr>
        <w:t>que </w:t>
      </w:r>
      <w:r>
        <w:rPr/>
        <w:t>actualmente ya está en crisis; de la misma manera que entró en crisis en viejo modelo republicano de estado, estos ya no corresponden al momento histórico que vive el país y el movimiento indígena. El modelo de autonomía universitaria boliviana, tiene sus orígenes en las épocas de dictaduras militares, pero cuando retorna la democracia, se impregna de los modelos noeliberales y mercantiles que priorizan el productivismo y la economía neoliberal privatista. Las universidades indígenas tienen el desafío y la oportunidad de generar modelos académicos diferentes a los de las universidades públicas y privadas, basados esencialmente en el conocimiento universal occidental y neocolonizante. Las Universidades indígenas y la quechua en particular, está en la obligación de generar sus propios modelos académicos, científicos tecnológicos y de gestión, de acuerdo a sus propias cosmovisiones, sus intereses y necesidades de sus pueblos y naciones originarias. Esta es la tarea que </w:t>
      </w:r>
      <w:r>
        <w:rPr>
          <w:spacing w:val="3"/>
        </w:rPr>
        <w:t>le </w:t>
      </w:r>
      <w:r>
        <w:rPr/>
        <w:t>toca asumir a la Universidad Indígena</w:t>
      </w:r>
      <w:r>
        <w:rPr>
          <w:spacing w:val="-1"/>
        </w:rPr>
        <w:t> </w:t>
      </w:r>
      <w:r>
        <w:rPr/>
        <w:t>Quechua.</w:t>
      </w:r>
    </w:p>
    <w:p>
      <w:pPr>
        <w:pStyle w:val="BodyText"/>
        <w:spacing w:line="276" w:lineRule="auto" w:before="200"/>
        <w:ind w:left="1082" w:right="848"/>
        <w:jc w:val="both"/>
      </w:pPr>
      <w:r>
        <w:rPr/>
        <w:t>La particularidad de la Universidad Quechua “Casimiro Huanca”, es que debe responder orgánicamente a la Nación Quechua, por tanto estructura sus carreras y contenidos, se construirán en base a los intereses y necesidades de la Nación Quechua y desde la Cosmovisión Quechua que comienza en la tierra y el territorio.</w:t>
      </w:r>
    </w:p>
    <w:p>
      <w:pPr>
        <w:spacing w:after="0" w:line="276" w:lineRule="auto"/>
        <w:jc w:val="both"/>
        <w:sectPr>
          <w:pgSz w:w="11910" w:h="16840"/>
          <w:pgMar w:header="0" w:footer="922" w:top="1320" w:bottom="1200" w:left="620" w:right="280"/>
        </w:sectPr>
      </w:pPr>
    </w:p>
    <w:p>
      <w:pPr>
        <w:pStyle w:val="BodyText"/>
        <w:spacing w:line="276" w:lineRule="auto" w:before="76"/>
        <w:ind w:left="1082" w:right="847"/>
        <w:jc w:val="both"/>
      </w:pPr>
      <w:r>
        <w:rPr/>
        <w:t>El territorio es la base de la cultura, no existen territorios sin cultura ni culturas sin territorios, por eso es que la lucha de los pueblos indígenas su primera lucha es por tierra y territorio y por esa razón es que la lucha de nuestros pueblos por la tierra y el territorio nos ha llevado al proceso político de cambio que actualmente vivimos y la clave para el logro de una nueva Constitución política del Estado. La lucha de los pueblos indígenas contra el Estado Nacional ha sido porque el Estado Nacional excluía a las Naciones Originarias del Estado y negaba la existencia de nuestras culturas, por tanto negaba todos los derechos de nuestros pueblos, culturas naciones originarias, dentro de ellas la Nación Quechua. El Estado Nacional era también monocultural, solo reconocía la cultura oficial boliviana y nosotros expresábamos que existen muchas culturas y naciones por tanto el Estado debe ser Plurinacional y eso es lo que se logra con la Nueva constitución: La creación de un nuevo Estado Plurinacional, Pluricultural y Plurilingue, donde está claramente expresado la condición precolonial y el derechos a la tierra y el territorio de las naciones originarias. Dentro de la lucha de los derechos integrales está también el derecho a la educación con identidad propia de cada una de las culturas existentes en el territorio del Estado</w:t>
      </w:r>
      <w:r>
        <w:rPr>
          <w:spacing w:val="-2"/>
        </w:rPr>
        <w:t> </w:t>
      </w:r>
      <w:r>
        <w:rPr/>
        <w:t>Boliviano</w:t>
      </w:r>
    </w:p>
    <w:p>
      <w:pPr>
        <w:pStyle w:val="BodyText"/>
        <w:spacing w:line="276" w:lineRule="auto" w:before="202"/>
        <w:ind w:left="1082" w:right="847"/>
        <w:jc w:val="both"/>
      </w:pPr>
      <w:r>
        <w:rPr/>
        <w:t>Desde esta perspectiva es que explica que primero se tiene que fortalecer el territorio, al fortalecer el territorio, se fortalece la cultura la identidad la lengua propia, en este caso quechua. El fortalecimiento de las territorialidades y culturas originarias, en nuestro caso de las culturas de la nación Quechua está directamente relacionado con el fortalecimiento del Estado Plurinacional. Esta acción está basada en principios territoriales culturales ancestrales, éticos y estéticos, ideológicos. Políticos, económicos sociales etc. pero fundamentalmente de visiones de la vida del cosmos PACHAJKAWSAYNIN, de cosmovisión integral podemos decir en castellano. Y aquí comienza el problema de la lengua, no se puede expresar el sentido de la Pacha en quechua que expresa en una sola palabra todo el sentido integral cósmico, en otra sola palabra castellana. La lengua propia expresa el sentido propio de la realidad tangible e intangible que cada cultura interpreta y trasmite, por ello la importancia de la lengua quechua y por ello la importancia de una institución propia para reproducir la cultura propia, por eso se explica la lucha del pueblo quechua de contar con su propia Universidad. La cultura quechua es cultura comunitaria como las demás culturas ancestrales comunitarias, también desarrolla formas comunitarias de vida, estas formas de vida comunitaria son las que necesita reproducirlas. La Universidad Indígena es la institución de reproducción de las sabidurías indígenas originarias, en este caso quechuas. El Sumaj Kawsay planteado desde la Nación Quechua, debe tener su institución superior de reproducción en la Universidad Quechua y como uno de los ejemplos de principios de vida, reproducir todos los principios y valores de la cultura territorio Quechua.</w:t>
      </w:r>
    </w:p>
    <w:p>
      <w:pPr>
        <w:pStyle w:val="BodyText"/>
        <w:spacing w:line="276" w:lineRule="auto" w:before="200"/>
        <w:ind w:left="1082" w:right="848"/>
        <w:jc w:val="both"/>
      </w:pPr>
      <w:r>
        <w:rPr/>
        <w:t>El nombre de la Universidad Quechua “Casimiro Huanca” es un reconocimiento a la lucha contra las políticas neoliberales que liderizó; Casimiro Huanca cuando ejercía el cargo de Secretario Ejecutivo de la Federación de Chimoré, del trópico</w:t>
      </w:r>
      <w:r>
        <w:rPr>
          <w:spacing w:val="58"/>
        </w:rPr>
        <w:t> </w:t>
      </w:r>
      <w:r>
        <w:rPr/>
        <w:t>de</w:t>
      </w:r>
    </w:p>
    <w:p>
      <w:pPr>
        <w:spacing w:after="0" w:line="276" w:lineRule="auto"/>
        <w:jc w:val="both"/>
        <w:sectPr>
          <w:pgSz w:w="11910" w:h="16840"/>
          <w:pgMar w:header="0" w:footer="922" w:top="1320" w:bottom="1200" w:left="620" w:right="280"/>
        </w:sectPr>
      </w:pPr>
    </w:p>
    <w:p>
      <w:pPr>
        <w:pStyle w:val="BodyText"/>
        <w:spacing w:line="278" w:lineRule="auto" w:before="76"/>
        <w:ind w:left="1082" w:right="858"/>
        <w:jc w:val="both"/>
      </w:pPr>
      <w:r>
        <w:rPr/>
        <w:t>Cochabamba, quien fue asesinado en 2001 durante el gobierno de Hugo Banzer y Jorge Tuto Quiroga.</w:t>
      </w:r>
    </w:p>
    <w:p>
      <w:pPr>
        <w:pStyle w:val="BodyText"/>
        <w:spacing w:line="276" w:lineRule="auto" w:before="195"/>
        <w:ind w:left="1082" w:right="847"/>
        <w:jc w:val="both"/>
      </w:pPr>
      <w:r>
        <w:rPr/>
        <w:t>La Universidad Indígena Quechua “Casimiro Huanca” es una institución de formación profesional superior que nace como respuesta a las demandas de las Naciones y Pueblos Indígena Originario Campesinos, históricamente constituidos antes de la fundación de la República boliviana. El Presidente Evo Morales Ayma, Mediante el Decreto 29664, de fecha 2 de agosto de 2008, da inicio a esta iniciativa pedagógica comunitaria de educación superior en el Trópico de</w:t>
      </w:r>
      <w:r>
        <w:rPr>
          <w:spacing w:val="-14"/>
        </w:rPr>
        <w:t> </w:t>
      </w:r>
      <w:r>
        <w:rPr/>
        <w:t>Cochabamba.</w:t>
      </w:r>
    </w:p>
    <w:p>
      <w:pPr>
        <w:pStyle w:val="BodyText"/>
        <w:spacing w:before="198"/>
        <w:ind w:left="1082" w:right="850"/>
        <w:jc w:val="both"/>
      </w:pPr>
      <w:r>
        <w:rPr/>
        <w:t>La UNIBOL Quechua “Casimiro Huanca” como parte del sistema de Universidades Indígenas Bolivianas Comunitarias Interculturales Productivas, está orientada a la formación profesional universitaria de los miembros de las Naciones y Pueblos Indígenas Originarios y Campesinos Quechuas y otros. Algunos de los propósitos de la UNIBOL Quechua es la de contribuir con profesionales de alto nivel académico y profesional, con vocación de servicio social comunitario, alta sensibilidad al reconocimiento y la vigorización de la diversidad cultural.</w:t>
      </w:r>
    </w:p>
    <w:p>
      <w:pPr>
        <w:pStyle w:val="BodyText"/>
        <w:rPr>
          <w:sz w:val="26"/>
        </w:rPr>
      </w:pPr>
    </w:p>
    <w:p>
      <w:pPr>
        <w:pStyle w:val="BodyText"/>
        <w:spacing w:before="5"/>
        <w:rPr>
          <w:sz w:val="36"/>
        </w:rPr>
      </w:pPr>
    </w:p>
    <w:p>
      <w:pPr>
        <w:pStyle w:val="Heading3"/>
        <w:numPr>
          <w:ilvl w:val="0"/>
          <w:numId w:val="1"/>
        </w:numPr>
        <w:tabs>
          <w:tab w:pos="1513" w:val="left" w:leader="none"/>
          <w:tab w:pos="1514" w:val="left" w:leader="none"/>
        </w:tabs>
        <w:spacing w:line="240" w:lineRule="auto" w:before="0" w:after="0"/>
        <w:ind w:left="1514" w:right="0" w:hanging="432"/>
        <w:jc w:val="left"/>
      </w:pPr>
      <w:r>
        <w:rPr/>
        <w:t>PILARES</w:t>
      </w:r>
      <w:r>
        <w:rPr>
          <w:spacing w:val="1"/>
        </w:rPr>
        <w:t> </w:t>
      </w:r>
      <w:r>
        <w:rPr/>
        <w:t>INSTITUCIONALES</w:t>
      </w:r>
    </w:p>
    <w:p>
      <w:pPr>
        <w:pStyle w:val="BodyText"/>
        <w:spacing w:before="5"/>
        <w:rPr>
          <w:b/>
        </w:rPr>
      </w:pPr>
    </w:p>
    <w:p>
      <w:pPr>
        <w:pStyle w:val="ListParagraph"/>
        <w:numPr>
          <w:ilvl w:val="1"/>
          <w:numId w:val="1"/>
        </w:numPr>
        <w:tabs>
          <w:tab w:pos="2049" w:val="left" w:leader="none"/>
        </w:tabs>
        <w:spacing w:line="240" w:lineRule="auto" w:before="0" w:after="0"/>
        <w:ind w:left="2048" w:right="0" w:hanging="535"/>
        <w:jc w:val="left"/>
        <w:rPr>
          <w:b/>
          <w:sz w:val="24"/>
        </w:rPr>
      </w:pPr>
      <w:r>
        <w:rPr>
          <w:b/>
          <w:sz w:val="24"/>
        </w:rPr>
        <w:t>DECRETO DE</w:t>
      </w:r>
      <w:r>
        <w:rPr>
          <w:b/>
          <w:spacing w:val="-1"/>
          <w:sz w:val="24"/>
        </w:rPr>
        <w:t> </w:t>
      </w:r>
      <w:r>
        <w:rPr>
          <w:b/>
          <w:sz w:val="24"/>
        </w:rPr>
        <w:t>CONSTITUCIÓN</w:t>
      </w:r>
    </w:p>
    <w:p>
      <w:pPr>
        <w:pStyle w:val="BodyText"/>
        <w:spacing w:before="101"/>
        <w:ind w:left="1082" w:right="849"/>
        <w:jc w:val="both"/>
      </w:pPr>
      <w:r>
        <w:rPr>
          <w:b/>
        </w:rPr>
        <w:t>Artículo 1º ( CONSTITUCIÓN).- </w:t>
      </w:r>
      <w:r>
        <w:rPr/>
        <w:t>Las Universidades Indígenas, Comunitarias, Interculturales, Productivas de Bolivia UNIBOL, se constituyen en entidades de Educación Superior Públicas, descentralizadas y bajo tuición del Ministerio de Educación. Conformadas por la Universidad Indígena Aymara, “Tupak Katari”, con sede en la localidad de Warisata, Provincia Omasuyos del Departamento de La Paz; la Universidad Indígena Quechua “Casimiro Huanca” con sede en Chimoré, Provincia Carrasco del Departamento de Cochabamba y la Universidad Indígena Guaraní y Pueblos de Tierras Bajas “Apiaguaiki Tüpa” con sede en la Comunidad de Kuruyuki, Provincia Luis Calvo del Departamento de</w:t>
      </w:r>
      <w:r>
        <w:rPr>
          <w:spacing w:val="-5"/>
        </w:rPr>
        <w:t> </w:t>
      </w:r>
      <w:r>
        <w:rPr/>
        <w:t>Chuquisaca.</w:t>
      </w:r>
    </w:p>
    <w:p>
      <w:pPr>
        <w:pStyle w:val="BodyText"/>
        <w:spacing w:before="1"/>
        <w:ind w:left="1082" w:right="850"/>
        <w:jc w:val="both"/>
      </w:pPr>
      <w:r>
        <w:rPr>
          <w:b/>
        </w:rPr>
        <w:t>Artículo 2º (MARCO LEGAL).- </w:t>
      </w:r>
      <w:r>
        <w:rPr/>
        <w:t>Las UNIBOL creadas mediante Decreto Supremo 29664 de 2 de agosto de 2008, desarrollarán sus actividades en sujeción al presente Estatuto y su Reglamentación, en el marco de la Constitución Política del Estado Plurinacional de Bolivia, la Ley 1257 que ratifica el Convenio 169 de la OIT; la Declaración de los Derechos de los Pueblos Indígenas de la ONU del 13 de septiembre del 2008, elevado a rango de Ley Nº 3760 del 7 de noviembre del 2008, Ley de Educación Nº 070 Avelino Siñani – Elizardo Pérez y otras disposiciones vigentes.</w:t>
      </w:r>
    </w:p>
    <w:p>
      <w:pPr>
        <w:pStyle w:val="BodyText"/>
        <w:ind w:left="1082" w:right="847"/>
        <w:jc w:val="both"/>
        <w:rPr>
          <w:b/>
        </w:rPr>
      </w:pPr>
      <w:r>
        <w:rPr>
          <w:b/>
        </w:rPr>
        <w:t>Artículo 3º (DEFINICIÓN).- </w:t>
      </w:r>
      <w:r>
        <w:rPr/>
        <w:t>Las UNIBOL son entidades públicas de formación profesional integral de mujeres y hombres para la Educación Superior de carácter comunitario, cuyas funciones de enseñanza y aprendizaje se basan en las cosmovisiones de los Pueblos Indígenas, contribuyendo a desarrollar la ciencia, investigación, tecnología, producción, la espiritualidad y la integración comunitaria, constituyendo parte del Sistema de Educación Superior Plurinacional</w:t>
      </w:r>
      <w:r>
        <w:rPr>
          <w:b/>
        </w:rPr>
        <w:t>.</w:t>
      </w:r>
    </w:p>
    <w:p>
      <w:pPr>
        <w:pStyle w:val="BodyText"/>
        <w:spacing w:before="1"/>
        <w:ind w:left="1082" w:right="850"/>
        <w:jc w:val="both"/>
      </w:pPr>
      <w:r>
        <w:rPr>
          <w:b/>
        </w:rPr>
        <w:t>Artículo 4º (FUNDAMENTOS DE CREACIÓN).- </w:t>
      </w:r>
      <w:r>
        <w:rPr/>
        <w:t>Las UNIBOL creadas como producto de las luchas de las Naciones y Pueblos Indígena Originario Campesinos, se fundan para el establecimiento de una Educación Superior Indígena, descolonizadora de carácter intra e intercultural, plurilingüe y comunitaria productiva</w:t>
      </w:r>
    </w:p>
    <w:p>
      <w:pPr>
        <w:spacing w:after="0"/>
        <w:jc w:val="both"/>
        <w:sectPr>
          <w:pgSz w:w="11910" w:h="16840"/>
          <w:pgMar w:header="0" w:footer="922" w:top="1320" w:bottom="1200" w:left="620" w:right="280"/>
        </w:sectPr>
      </w:pPr>
    </w:p>
    <w:p>
      <w:pPr>
        <w:pStyle w:val="BodyText"/>
        <w:spacing w:before="73"/>
        <w:ind w:left="1082" w:right="847"/>
        <w:jc w:val="both"/>
      </w:pPr>
      <w:r>
        <w:rPr/>
        <w:t>en diferentes niveles académicos, con la finalidad de potenciar conocimientos, saberes y tecnologías orientadas por criterios comunitarios y bajo principios de la UNIBOL.</w:t>
      </w:r>
    </w:p>
    <w:p>
      <w:pPr>
        <w:spacing w:before="0"/>
        <w:ind w:left="1082" w:right="850" w:firstLine="0"/>
        <w:jc w:val="both"/>
        <w:rPr>
          <w:sz w:val="24"/>
        </w:rPr>
      </w:pPr>
      <w:r>
        <w:rPr>
          <w:b/>
          <w:sz w:val="24"/>
        </w:rPr>
        <w:t>Artículo 12º (PLANIFICACIÓN Y COORDINACIÓN).- </w:t>
      </w:r>
      <w:r>
        <w:rPr>
          <w:sz w:val="24"/>
        </w:rPr>
        <w:t>La Universidad Indígena Boliviana, Comunitaria, Intercultural, Productiva UNIBOL, establece:</w:t>
      </w:r>
    </w:p>
    <w:p>
      <w:pPr>
        <w:pStyle w:val="ListParagraph"/>
        <w:numPr>
          <w:ilvl w:val="0"/>
          <w:numId w:val="2"/>
        </w:numPr>
        <w:tabs>
          <w:tab w:pos="1291" w:val="left" w:leader="none"/>
        </w:tabs>
        <w:spacing w:line="240" w:lineRule="auto" w:before="1" w:after="0"/>
        <w:ind w:left="1082" w:right="856" w:firstLine="0"/>
        <w:jc w:val="both"/>
        <w:rPr>
          <w:sz w:val="24"/>
        </w:rPr>
      </w:pPr>
      <w:r>
        <w:rPr>
          <w:sz w:val="24"/>
        </w:rPr>
        <w:t>La facultad de coordinación con el sistema de Universidades Públicas Autónomas, Privadas, de Régimen Especial y otras entidades de Educación Superior del Estado Plurinacional, así como de carácter Internacional, para el intercambio de actividades científicas, tecnológicas y</w:t>
      </w:r>
      <w:r>
        <w:rPr>
          <w:spacing w:val="-3"/>
          <w:sz w:val="24"/>
        </w:rPr>
        <w:t> </w:t>
      </w:r>
      <w:r>
        <w:rPr>
          <w:sz w:val="24"/>
        </w:rPr>
        <w:t>otras.</w:t>
      </w:r>
    </w:p>
    <w:p>
      <w:pPr>
        <w:pStyle w:val="BodyText"/>
        <w:spacing w:before="11"/>
        <w:rPr>
          <w:sz w:val="23"/>
        </w:rPr>
      </w:pPr>
    </w:p>
    <w:p>
      <w:pPr>
        <w:pStyle w:val="ListParagraph"/>
        <w:numPr>
          <w:ilvl w:val="0"/>
          <w:numId w:val="2"/>
        </w:numPr>
        <w:tabs>
          <w:tab w:pos="1360" w:val="left" w:leader="none"/>
        </w:tabs>
        <w:spacing w:line="240" w:lineRule="auto" w:before="0" w:after="0"/>
        <w:ind w:left="1082" w:right="847" w:firstLine="0"/>
        <w:jc w:val="both"/>
        <w:rPr>
          <w:sz w:val="24"/>
        </w:rPr>
      </w:pPr>
      <w:r>
        <w:rPr>
          <w:sz w:val="24"/>
        </w:rPr>
        <w:t>La Planificación de políticas y estrategias conforme a las necesidades planteadas y enmarcadas a la realidad, que permitan lograr soluciones a los problemas de las Naciones y Pueblos Originario Indígena Campesinos que componen el Estado Plurinacional de</w:t>
      </w:r>
      <w:r>
        <w:rPr>
          <w:spacing w:val="-3"/>
          <w:sz w:val="24"/>
        </w:rPr>
        <w:t> </w:t>
      </w:r>
      <w:r>
        <w:rPr>
          <w:sz w:val="24"/>
        </w:rPr>
        <w:t>Bolivia.</w:t>
      </w:r>
    </w:p>
    <w:p>
      <w:pPr>
        <w:pStyle w:val="BodyText"/>
        <w:rPr>
          <w:sz w:val="26"/>
        </w:rPr>
      </w:pPr>
    </w:p>
    <w:p>
      <w:pPr>
        <w:pStyle w:val="Heading3"/>
        <w:numPr>
          <w:ilvl w:val="1"/>
          <w:numId w:val="1"/>
        </w:numPr>
        <w:tabs>
          <w:tab w:pos="2377" w:val="left" w:leader="none"/>
          <w:tab w:pos="2378" w:val="left" w:leader="none"/>
        </w:tabs>
        <w:spacing w:line="328" w:lineRule="auto" w:before="220" w:after="0"/>
        <w:ind w:left="1082" w:right="5787" w:firstLine="575"/>
        <w:jc w:val="left"/>
      </w:pPr>
      <w:r>
        <w:rPr/>
        <w:t>PRINCIPIOS Y </w:t>
      </w:r>
      <w:r>
        <w:rPr>
          <w:spacing w:val="-3"/>
        </w:rPr>
        <w:t>VALORES </w:t>
      </w:r>
      <w:r>
        <w:rPr/>
        <w:t>Principios:</w:t>
      </w:r>
    </w:p>
    <w:p>
      <w:pPr>
        <w:pStyle w:val="ListParagraph"/>
        <w:numPr>
          <w:ilvl w:val="0"/>
          <w:numId w:val="3"/>
        </w:numPr>
        <w:tabs>
          <w:tab w:pos="1802" w:val="left" w:leader="none"/>
        </w:tabs>
        <w:spacing w:line="240" w:lineRule="auto" w:before="137" w:after="0"/>
        <w:ind w:left="1802" w:right="0" w:hanging="360"/>
        <w:jc w:val="left"/>
        <w:rPr>
          <w:sz w:val="24"/>
        </w:rPr>
      </w:pPr>
      <w:r>
        <w:rPr>
          <w:sz w:val="24"/>
        </w:rPr>
        <w:t>PACHA, Cosmos, Madre Naturaleza</w:t>
      </w:r>
      <w:r>
        <w:rPr>
          <w:spacing w:val="-3"/>
          <w:sz w:val="24"/>
        </w:rPr>
        <w:t> </w:t>
      </w:r>
      <w:r>
        <w:rPr>
          <w:sz w:val="24"/>
        </w:rPr>
        <w:t>Cósmica</w:t>
      </w:r>
    </w:p>
    <w:p>
      <w:pPr>
        <w:pStyle w:val="ListParagraph"/>
        <w:numPr>
          <w:ilvl w:val="0"/>
          <w:numId w:val="3"/>
        </w:numPr>
        <w:tabs>
          <w:tab w:pos="1802" w:val="left" w:leader="none"/>
        </w:tabs>
        <w:spacing w:line="240" w:lineRule="auto" w:before="0" w:after="0"/>
        <w:ind w:left="1802" w:right="0" w:hanging="360"/>
        <w:jc w:val="left"/>
        <w:rPr>
          <w:sz w:val="24"/>
        </w:rPr>
      </w:pPr>
      <w:r>
        <w:rPr>
          <w:sz w:val="24"/>
        </w:rPr>
        <w:t>Sumaj</w:t>
      </w:r>
      <w:r>
        <w:rPr>
          <w:spacing w:val="-1"/>
          <w:sz w:val="24"/>
        </w:rPr>
        <w:t> </w:t>
      </w:r>
      <w:r>
        <w:rPr>
          <w:sz w:val="24"/>
        </w:rPr>
        <w:t>Kawsay;</w:t>
      </w:r>
    </w:p>
    <w:p>
      <w:pPr>
        <w:pStyle w:val="ListParagraph"/>
        <w:numPr>
          <w:ilvl w:val="0"/>
          <w:numId w:val="3"/>
        </w:numPr>
        <w:tabs>
          <w:tab w:pos="1802" w:val="left" w:leader="none"/>
        </w:tabs>
        <w:spacing w:line="240" w:lineRule="auto" w:before="0" w:after="0"/>
        <w:ind w:left="1802" w:right="0" w:hanging="360"/>
        <w:jc w:val="left"/>
        <w:rPr>
          <w:sz w:val="24"/>
        </w:rPr>
      </w:pPr>
      <w:r>
        <w:rPr>
          <w:sz w:val="24"/>
        </w:rPr>
        <w:t>Ama Qhilla, Ama Llulla y Ama</w:t>
      </w:r>
      <w:r>
        <w:rPr>
          <w:spacing w:val="-9"/>
          <w:sz w:val="24"/>
        </w:rPr>
        <w:t> </w:t>
      </w:r>
      <w:r>
        <w:rPr>
          <w:sz w:val="24"/>
        </w:rPr>
        <w:t>Suwa</w:t>
      </w:r>
    </w:p>
    <w:p>
      <w:pPr>
        <w:pStyle w:val="ListParagraph"/>
        <w:numPr>
          <w:ilvl w:val="0"/>
          <w:numId w:val="3"/>
        </w:numPr>
        <w:tabs>
          <w:tab w:pos="1802" w:val="left" w:leader="none"/>
        </w:tabs>
        <w:spacing w:line="240" w:lineRule="auto" w:before="0" w:after="0"/>
        <w:ind w:left="1802" w:right="0" w:hanging="360"/>
        <w:jc w:val="left"/>
        <w:rPr>
          <w:sz w:val="24"/>
        </w:rPr>
      </w:pPr>
      <w:r>
        <w:rPr>
          <w:sz w:val="24"/>
        </w:rPr>
        <w:t>Ayni</w:t>
      </w:r>
    </w:p>
    <w:p>
      <w:pPr>
        <w:pStyle w:val="ListParagraph"/>
        <w:numPr>
          <w:ilvl w:val="0"/>
          <w:numId w:val="3"/>
        </w:numPr>
        <w:tabs>
          <w:tab w:pos="1802" w:val="left" w:leader="none"/>
        </w:tabs>
        <w:spacing w:line="240" w:lineRule="auto" w:before="0" w:after="0"/>
        <w:ind w:left="1802" w:right="0" w:hanging="360"/>
        <w:jc w:val="left"/>
        <w:rPr>
          <w:sz w:val="24"/>
        </w:rPr>
      </w:pPr>
      <w:r>
        <w:rPr>
          <w:sz w:val="24"/>
        </w:rPr>
        <w:t>Mink’a</w:t>
      </w:r>
    </w:p>
    <w:p>
      <w:pPr>
        <w:pStyle w:val="ListParagraph"/>
        <w:numPr>
          <w:ilvl w:val="0"/>
          <w:numId w:val="3"/>
        </w:numPr>
        <w:tabs>
          <w:tab w:pos="1801" w:val="left" w:leader="none"/>
          <w:tab w:pos="1802" w:val="left" w:leader="none"/>
        </w:tabs>
        <w:spacing w:line="240" w:lineRule="auto" w:before="0" w:after="0"/>
        <w:ind w:left="1802" w:right="0" w:hanging="360"/>
        <w:jc w:val="left"/>
        <w:rPr>
          <w:sz w:val="24"/>
        </w:rPr>
      </w:pPr>
      <w:r>
        <w:rPr>
          <w:sz w:val="24"/>
        </w:rPr>
        <w:t>Kawsayninchej, Nuestra vida comunitaria-</w:t>
      </w:r>
    </w:p>
    <w:p>
      <w:pPr>
        <w:pStyle w:val="ListParagraph"/>
        <w:numPr>
          <w:ilvl w:val="0"/>
          <w:numId w:val="3"/>
        </w:numPr>
        <w:tabs>
          <w:tab w:pos="1802" w:val="left" w:leader="none"/>
        </w:tabs>
        <w:spacing w:line="240" w:lineRule="auto" w:before="0" w:after="0"/>
        <w:ind w:left="1802" w:right="0" w:hanging="360"/>
        <w:jc w:val="left"/>
        <w:rPr>
          <w:sz w:val="24"/>
        </w:rPr>
      </w:pPr>
      <w:r>
        <w:rPr>
          <w:sz w:val="24"/>
        </w:rPr>
        <w:t>Qhapaj ñan; El camino de las</w:t>
      </w:r>
      <w:r>
        <w:rPr>
          <w:spacing w:val="-3"/>
          <w:sz w:val="24"/>
        </w:rPr>
        <w:t> </w:t>
      </w:r>
      <w:r>
        <w:rPr>
          <w:sz w:val="24"/>
        </w:rPr>
        <w:t>virtudes</w:t>
      </w:r>
    </w:p>
    <w:p>
      <w:pPr>
        <w:pStyle w:val="ListParagraph"/>
        <w:numPr>
          <w:ilvl w:val="0"/>
          <w:numId w:val="3"/>
        </w:numPr>
        <w:tabs>
          <w:tab w:pos="1802" w:val="left" w:leader="none"/>
        </w:tabs>
        <w:spacing w:line="240" w:lineRule="auto" w:before="0" w:after="0"/>
        <w:ind w:left="1802" w:right="0" w:hanging="360"/>
        <w:jc w:val="left"/>
        <w:rPr>
          <w:sz w:val="24"/>
        </w:rPr>
      </w:pPr>
      <w:r>
        <w:rPr>
          <w:sz w:val="24"/>
        </w:rPr>
        <w:t>Respeto a la pluralidad y diversidad</w:t>
      </w:r>
      <w:r>
        <w:rPr>
          <w:spacing w:val="-6"/>
          <w:sz w:val="24"/>
        </w:rPr>
        <w:t> </w:t>
      </w:r>
      <w:r>
        <w:rPr>
          <w:sz w:val="24"/>
        </w:rPr>
        <w:t>cultural;</w:t>
      </w:r>
    </w:p>
    <w:p>
      <w:pPr>
        <w:pStyle w:val="ListParagraph"/>
        <w:numPr>
          <w:ilvl w:val="0"/>
          <w:numId w:val="3"/>
        </w:numPr>
        <w:tabs>
          <w:tab w:pos="1801" w:val="left" w:leader="none"/>
          <w:tab w:pos="1802" w:val="left" w:leader="none"/>
        </w:tabs>
        <w:spacing w:line="240" w:lineRule="auto" w:before="0" w:after="0"/>
        <w:ind w:left="1802" w:right="0" w:hanging="360"/>
        <w:jc w:val="left"/>
        <w:rPr>
          <w:sz w:val="24"/>
        </w:rPr>
      </w:pPr>
      <w:r>
        <w:rPr>
          <w:sz w:val="24"/>
        </w:rPr>
        <w:t>Respeto a la madre</w:t>
      </w:r>
      <w:r>
        <w:rPr>
          <w:spacing w:val="-4"/>
          <w:sz w:val="24"/>
        </w:rPr>
        <w:t> </w:t>
      </w:r>
      <w:r>
        <w:rPr>
          <w:sz w:val="24"/>
        </w:rPr>
        <w:t>tierra;</w:t>
      </w:r>
    </w:p>
    <w:p>
      <w:pPr>
        <w:pStyle w:val="ListParagraph"/>
        <w:numPr>
          <w:ilvl w:val="0"/>
          <w:numId w:val="3"/>
        </w:numPr>
        <w:tabs>
          <w:tab w:pos="1801" w:val="left" w:leader="none"/>
          <w:tab w:pos="1802" w:val="left" w:leader="none"/>
        </w:tabs>
        <w:spacing w:line="240" w:lineRule="auto" w:before="0" w:after="0"/>
        <w:ind w:left="1802" w:right="0" w:hanging="360"/>
        <w:jc w:val="left"/>
        <w:rPr>
          <w:sz w:val="24"/>
        </w:rPr>
      </w:pPr>
      <w:r>
        <w:rPr>
          <w:sz w:val="24"/>
        </w:rPr>
        <w:t>Convivencia armónica y</w:t>
      </w:r>
      <w:r>
        <w:rPr>
          <w:spacing w:val="-6"/>
          <w:sz w:val="24"/>
        </w:rPr>
        <w:t> </w:t>
      </w:r>
      <w:r>
        <w:rPr>
          <w:sz w:val="24"/>
        </w:rPr>
        <w:t>pacífica;</w:t>
      </w:r>
    </w:p>
    <w:p>
      <w:pPr>
        <w:pStyle w:val="ListParagraph"/>
        <w:numPr>
          <w:ilvl w:val="0"/>
          <w:numId w:val="3"/>
        </w:numPr>
        <w:tabs>
          <w:tab w:pos="1802" w:val="left" w:leader="none"/>
        </w:tabs>
        <w:spacing w:line="240" w:lineRule="auto" w:before="0" w:after="0"/>
        <w:ind w:left="1802" w:right="0" w:hanging="360"/>
        <w:jc w:val="left"/>
        <w:rPr>
          <w:sz w:val="24"/>
        </w:rPr>
      </w:pPr>
      <w:r>
        <w:rPr>
          <w:sz w:val="24"/>
        </w:rPr>
        <w:t>Generación de saberes y conocimiento para Vivir</w:t>
      </w:r>
      <w:r>
        <w:rPr>
          <w:spacing w:val="-7"/>
          <w:sz w:val="24"/>
        </w:rPr>
        <w:t> </w:t>
      </w:r>
      <w:r>
        <w:rPr>
          <w:sz w:val="24"/>
        </w:rPr>
        <w:t>Bien;</w:t>
      </w:r>
    </w:p>
    <w:p>
      <w:pPr>
        <w:pStyle w:val="ListParagraph"/>
        <w:numPr>
          <w:ilvl w:val="0"/>
          <w:numId w:val="3"/>
        </w:numPr>
        <w:tabs>
          <w:tab w:pos="1801" w:val="left" w:leader="none"/>
          <w:tab w:pos="1802" w:val="left" w:leader="none"/>
        </w:tabs>
        <w:spacing w:line="240" w:lineRule="auto" w:before="1" w:after="0"/>
        <w:ind w:left="1802" w:right="0" w:hanging="360"/>
        <w:jc w:val="left"/>
        <w:rPr>
          <w:sz w:val="24"/>
        </w:rPr>
      </w:pPr>
      <w:r>
        <w:rPr>
          <w:sz w:val="24"/>
        </w:rPr>
        <w:t>Práctica de la</w:t>
      </w:r>
      <w:r>
        <w:rPr>
          <w:spacing w:val="-3"/>
          <w:sz w:val="24"/>
        </w:rPr>
        <w:t> </w:t>
      </w:r>
      <w:r>
        <w:rPr>
          <w:sz w:val="24"/>
        </w:rPr>
        <w:t>tolerancia;</w:t>
      </w:r>
    </w:p>
    <w:p>
      <w:pPr>
        <w:pStyle w:val="ListParagraph"/>
        <w:numPr>
          <w:ilvl w:val="0"/>
          <w:numId w:val="3"/>
        </w:numPr>
        <w:tabs>
          <w:tab w:pos="1802" w:val="left" w:leader="none"/>
        </w:tabs>
        <w:spacing w:line="240" w:lineRule="auto" w:before="0" w:after="0"/>
        <w:ind w:left="1802" w:right="0" w:hanging="360"/>
        <w:jc w:val="left"/>
        <w:rPr>
          <w:sz w:val="24"/>
        </w:rPr>
      </w:pPr>
      <w:r>
        <w:rPr>
          <w:sz w:val="24"/>
        </w:rPr>
        <w:t>Amor a la</w:t>
      </w:r>
      <w:r>
        <w:rPr>
          <w:spacing w:val="-4"/>
          <w:sz w:val="24"/>
        </w:rPr>
        <w:t> </w:t>
      </w:r>
      <w:r>
        <w:rPr>
          <w:sz w:val="24"/>
        </w:rPr>
        <w:t>verdad;</w:t>
      </w:r>
    </w:p>
    <w:p>
      <w:pPr>
        <w:pStyle w:val="ListParagraph"/>
        <w:numPr>
          <w:ilvl w:val="0"/>
          <w:numId w:val="3"/>
        </w:numPr>
        <w:tabs>
          <w:tab w:pos="1802" w:val="left" w:leader="none"/>
        </w:tabs>
        <w:spacing w:line="240" w:lineRule="auto" w:before="0" w:after="0"/>
        <w:ind w:left="1802" w:right="0" w:hanging="360"/>
        <w:jc w:val="left"/>
        <w:rPr>
          <w:sz w:val="24"/>
        </w:rPr>
      </w:pPr>
      <w:r>
        <w:rPr>
          <w:sz w:val="24"/>
        </w:rPr>
        <w:t>Defensa de la paz como criterio de convivencia</w:t>
      </w:r>
      <w:r>
        <w:rPr>
          <w:spacing w:val="-9"/>
          <w:sz w:val="24"/>
        </w:rPr>
        <w:t> </w:t>
      </w:r>
      <w:r>
        <w:rPr>
          <w:sz w:val="24"/>
        </w:rPr>
        <w:t>intercultural;</w:t>
      </w:r>
    </w:p>
    <w:p>
      <w:pPr>
        <w:pStyle w:val="ListParagraph"/>
        <w:numPr>
          <w:ilvl w:val="0"/>
          <w:numId w:val="3"/>
        </w:numPr>
        <w:tabs>
          <w:tab w:pos="1802" w:val="left" w:leader="none"/>
        </w:tabs>
        <w:spacing w:line="240" w:lineRule="auto" w:before="0" w:after="0"/>
        <w:ind w:left="1802" w:right="849" w:hanging="360"/>
        <w:jc w:val="both"/>
        <w:rPr>
          <w:sz w:val="24"/>
        </w:rPr>
      </w:pPr>
      <w:r>
        <w:rPr>
          <w:sz w:val="24"/>
        </w:rPr>
        <w:t>Práctica cotidiana de valores de reciprocidad, respeto, solidaridad complementariedad y demás principios que rigen a Nación Quechua y las Naciones y Pueblos Indígena Originaria Campesinos y</w:t>
      </w:r>
      <w:r>
        <w:rPr>
          <w:spacing w:val="-13"/>
          <w:sz w:val="24"/>
        </w:rPr>
        <w:t> </w:t>
      </w:r>
      <w:r>
        <w:rPr>
          <w:sz w:val="24"/>
        </w:rPr>
        <w:t>Afrobolivianos.</w:t>
      </w:r>
    </w:p>
    <w:p>
      <w:pPr>
        <w:pStyle w:val="BodyText"/>
        <w:rPr>
          <w:sz w:val="26"/>
        </w:rPr>
      </w:pPr>
    </w:p>
    <w:p>
      <w:pPr>
        <w:pStyle w:val="BodyText"/>
        <w:rPr>
          <w:sz w:val="22"/>
        </w:rPr>
      </w:pPr>
    </w:p>
    <w:p>
      <w:pPr>
        <w:pStyle w:val="Heading3"/>
      </w:pPr>
      <w:r>
        <w:rPr/>
        <w:t>Valores:</w:t>
      </w:r>
    </w:p>
    <w:p>
      <w:pPr>
        <w:pStyle w:val="BodyText"/>
        <w:rPr>
          <w:b/>
        </w:rPr>
      </w:pPr>
    </w:p>
    <w:p>
      <w:pPr>
        <w:pStyle w:val="BodyText"/>
        <w:ind w:left="1082" w:right="853"/>
        <w:jc w:val="both"/>
      </w:pPr>
      <w:r>
        <w:rPr>
          <w:b/>
        </w:rPr>
        <w:t>Comunitariedad ayllu: </w:t>
      </w:r>
      <w:r>
        <w:rPr/>
        <w:t>Todo ser humano, Runa, se realiza en la comunidad Ayllu y esta es la madre de la sociedad y de las personas, por ello el sentimiento de hermandad se desarrolla dentro del Ayllu y la corresponsabilidad es de todos y cada uno de los hijos por el bienestar del Ayllu en todos los sentidos.</w:t>
      </w:r>
    </w:p>
    <w:p>
      <w:pPr>
        <w:pStyle w:val="BodyText"/>
      </w:pPr>
    </w:p>
    <w:p>
      <w:pPr>
        <w:pStyle w:val="BodyText"/>
        <w:ind w:left="1082" w:right="858"/>
        <w:jc w:val="both"/>
      </w:pPr>
      <w:r>
        <w:rPr>
          <w:b/>
        </w:rPr>
        <w:t>Complementariedad</w:t>
      </w:r>
      <w:r>
        <w:rPr/>
        <w:t>: Nada se realiza o funciona en forma aislada y toda existencia se complementa en la diversidad; por ello, el ser humano por naturaleza en sus actividades sociopolíticas y socioeconómicas expresa una relación entre diferentes culturalmente; lo cual genera una armonía y equilibrio pleno de vida comunitaria.</w:t>
      </w:r>
    </w:p>
    <w:p>
      <w:pPr>
        <w:spacing w:after="0"/>
        <w:jc w:val="both"/>
        <w:sectPr>
          <w:pgSz w:w="11910" w:h="16840"/>
          <w:pgMar w:header="0" w:footer="922" w:top="1320" w:bottom="1200" w:left="620" w:right="280"/>
        </w:sectPr>
      </w:pPr>
    </w:p>
    <w:p>
      <w:pPr>
        <w:pStyle w:val="BodyText"/>
        <w:spacing w:before="73"/>
        <w:ind w:left="1082" w:right="856"/>
        <w:jc w:val="both"/>
      </w:pPr>
      <w:r>
        <w:rPr>
          <w:b/>
        </w:rPr>
        <w:t>Unidad</w:t>
      </w:r>
      <w:r>
        <w:rPr/>
        <w:t>: La sociedad organizada en “unidades socio económicas y sociopolíticas” expresada en la comunidad constituye la fuerza motriz que genera riquezas en el territorio, posibilitando el desarrollo intelectual y material en la sociedad comunitaria.</w:t>
      </w:r>
    </w:p>
    <w:p>
      <w:pPr>
        <w:pStyle w:val="BodyText"/>
      </w:pPr>
    </w:p>
    <w:p>
      <w:pPr>
        <w:pStyle w:val="BodyText"/>
        <w:ind w:left="1082" w:right="850"/>
        <w:jc w:val="both"/>
      </w:pPr>
      <w:r>
        <w:rPr>
          <w:b/>
        </w:rPr>
        <w:t>Hermandad</w:t>
      </w:r>
      <w:r>
        <w:rPr/>
        <w:t>: Es el fundamento de las relaciones humanas y el principio ético moral de vida, que permite vivir en armonía entre los seres humanos, con la naturaleza y la práctica de espiritualidades para construir una sociedad comunitaria dentro el Estado. Sintetizando la hermandad cultural-ideológica reflejadas en las estructuras sociopolíticas y</w:t>
      </w:r>
      <w:r>
        <w:rPr>
          <w:spacing w:val="-3"/>
        </w:rPr>
        <w:t> </w:t>
      </w:r>
      <w:r>
        <w:rPr/>
        <w:t>socioeconómicas.</w:t>
      </w:r>
    </w:p>
    <w:p>
      <w:pPr>
        <w:pStyle w:val="BodyText"/>
      </w:pPr>
    </w:p>
    <w:p>
      <w:pPr>
        <w:pStyle w:val="BodyText"/>
        <w:spacing w:before="1"/>
        <w:ind w:left="1082" w:right="855"/>
        <w:jc w:val="both"/>
      </w:pPr>
      <w:r>
        <w:rPr>
          <w:b/>
        </w:rPr>
        <w:t>Reciprocidad: </w:t>
      </w:r>
      <w:r>
        <w:rPr/>
        <w:t>Se expresa en la actitud de cooperación mutua, en todas las actividades socioeconómicas, socioculturales y sociopolíticas establecido para superar diferencias en la búsqueda de lograr un vínculo de hermandad equilibrada en la Sociedad-Estado</w:t>
      </w:r>
      <w:r>
        <w:rPr>
          <w:spacing w:val="-5"/>
        </w:rPr>
        <w:t> </w:t>
      </w:r>
      <w:r>
        <w:rPr/>
        <w:t>Comunitario.</w:t>
      </w:r>
    </w:p>
    <w:p>
      <w:pPr>
        <w:pStyle w:val="BodyText"/>
      </w:pPr>
    </w:p>
    <w:p>
      <w:pPr>
        <w:pStyle w:val="BodyText"/>
        <w:ind w:left="1082" w:right="854"/>
        <w:jc w:val="both"/>
      </w:pPr>
      <w:r>
        <w:rPr>
          <w:b/>
        </w:rPr>
        <w:t>Equilibrio</w:t>
      </w:r>
      <w:r>
        <w:rPr/>
        <w:t>: Es el valor que se expresa en acciones entre seres, culturas e ideologías, entre hombre y mujer en igualdad y ecuanimidad de condiciones que permitan actividades socioeconómicas, sociopolíticas y administrativas de la UNIBOL, la comunidad y el Estado, permitiendo superar los defectos de superioridad o inferioridad entre los seres</w:t>
      </w:r>
      <w:r>
        <w:rPr>
          <w:spacing w:val="-6"/>
        </w:rPr>
        <w:t> </w:t>
      </w:r>
      <w:r>
        <w:rPr/>
        <w:t>humanos.</w:t>
      </w:r>
    </w:p>
    <w:p>
      <w:pPr>
        <w:pStyle w:val="BodyText"/>
      </w:pPr>
    </w:p>
    <w:p>
      <w:pPr>
        <w:pStyle w:val="BodyText"/>
        <w:ind w:left="1082" w:right="855"/>
        <w:jc w:val="both"/>
      </w:pPr>
      <w:r>
        <w:rPr>
          <w:b/>
        </w:rPr>
        <w:t>Consenso</w:t>
      </w:r>
      <w:r>
        <w:rPr/>
        <w:t>: Es el fundamento de una elevada comprensión y conciencia moral del ser humano, que permite concertar y entrar en un acuerdo, entre dos o más personas o Naciones que superan la división y los criterios antagónicos, que obstaculizan el proceso en las diferentes actividades sociopolíticas y socioeconómicas que reflejan nuestra</w:t>
      </w:r>
      <w:r>
        <w:rPr>
          <w:spacing w:val="-4"/>
        </w:rPr>
        <w:t> </w:t>
      </w:r>
      <w:r>
        <w:rPr/>
        <w:t>cultura-ideología.</w:t>
      </w:r>
    </w:p>
    <w:p>
      <w:pPr>
        <w:pStyle w:val="BodyText"/>
        <w:spacing w:before="1"/>
      </w:pPr>
    </w:p>
    <w:p>
      <w:pPr>
        <w:pStyle w:val="BodyText"/>
        <w:ind w:left="1082" w:right="849"/>
        <w:jc w:val="both"/>
      </w:pPr>
      <w:r>
        <w:rPr>
          <w:b/>
        </w:rPr>
        <w:t>Integralidad</w:t>
      </w:r>
      <w:r>
        <w:rPr/>
        <w:t>: Todas las Naciones y Pueblos Indígena Originario y Campesinos, integralmente tienen un solo objetivo-meta el Vivir Bien. Las UNIBOL adquieren este valor como un pilar de formación integral de la comunidad.</w:t>
      </w:r>
    </w:p>
    <w:p>
      <w:pPr>
        <w:pStyle w:val="BodyText"/>
      </w:pPr>
    </w:p>
    <w:p>
      <w:pPr>
        <w:pStyle w:val="BodyText"/>
        <w:ind w:left="1082" w:right="856"/>
        <w:jc w:val="both"/>
      </w:pPr>
      <w:r>
        <w:rPr>
          <w:b/>
        </w:rPr>
        <w:t>Trabajo: </w:t>
      </w:r>
      <w:r>
        <w:rPr/>
        <w:t>Como uno de los fundamentos más importantes del Estado Plurinacional, las UNIBOL adquieren el trabajo como un valor intelectual y físico para recuperar en la práctica los conocimientos y saberes ancestrales en complementariedad con los conocimientos universales.</w:t>
      </w:r>
    </w:p>
    <w:p>
      <w:pPr>
        <w:pStyle w:val="BodyText"/>
        <w:spacing w:before="1"/>
      </w:pPr>
    </w:p>
    <w:p>
      <w:pPr>
        <w:pStyle w:val="BodyText"/>
        <w:ind w:left="1082" w:right="848"/>
        <w:jc w:val="both"/>
      </w:pPr>
      <w:r>
        <w:rPr>
          <w:b/>
        </w:rPr>
        <w:t>Armonía</w:t>
      </w:r>
      <w:r>
        <w:rPr/>
        <w:t>: Es un valor que permite la interrelación entre personas en la comunidad, para lograr la construcción de una sociedad justa y fraterna.</w:t>
      </w:r>
    </w:p>
    <w:p>
      <w:pPr>
        <w:pStyle w:val="BodyText"/>
        <w:rPr>
          <w:sz w:val="26"/>
        </w:rPr>
      </w:pPr>
    </w:p>
    <w:p>
      <w:pPr>
        <w:pStyle w:val="Heading3"/>
        <w:numPr>
          <w:ilvl w:val="1"/>
          <w:numId w:val="4"/>
        </w:numPr>
        <w:tabs>
          <w:tab w:pos="2377" w:val="left" w:leader="none"/>
          <w:tab w:pos="2378" w:val="left" w:leader="none"/>
          <w:tab w:pos="3308" w:val="left" w:leader="none"/>
          <w:tab w:pos="3690" w:val="left" w:leader="none"/>
          <w:tab w:pos="5287" w:val="left" w:leader="none"/>
          <w:tab w:pos="5843" w:val="left" w:leader="none"/>
          <w:tab w:pos="6541" w:val="left" w:leader="none"/>
          <w:tab w:pos="8738" w:val="left" w:leader="none"/>
        </w:tabs>
        <w:spacing w:line="276" w:lineRule="auto" w:before="219" w:after="0"/>
        <w:ind w:left="2378" w:right="854" w:hanging="720"/>
        <w:jc w:val="left"/>
      </w:pPr>
      <w:r>
        <w:rPr/>
        <w:t>FINES</w:t>
        <w:tab/>
        <w:t>Y</w:t>
        <w:tab/>
        <w:t>OBJETIVOS</w:t>
        <w:tab/>
        <w:t>DE</w:t>
        <w:tab/>
      </w:r>
      <w:r>
        <w:rPr>
          <w:spacing w:val="-3"/>
        </w:rPr>
        <w:t>LAS</w:t>
        <w:tab/>
      </w:r>
      <w:r>
        <w:rPr/>
        <w:t>UNIVERSIDADES</w:t>
        <w:tab/>
      </w:r>
      <w:r>
        <w:rPr>
          <w:spacing w:val="-3"/>
        </w:rPr>
        <w:t>INDIGENAS: </w:t>
      </w:r>
      <w:r>
        <w:rPr/>
        <w:t>UNIBOL</w:t>
      </w:r>
    </w:p>
    <w:p>
      <w:pPr>
        <w:pStyle w:val="BodyText"/>
        <w:rPr>
          <w:b/>
          <w:sz w:val="21"/>
        </w:rPr>
      </w:pPr>
    </w:p>
    <w:p>
      <w:pPr>
        <w:spacing w:before="0"/>
        <w:ind w:left="2378" w:right="0" w:firstLine="0"/>
        <w:jc w:val="left"/>
        <w:rPr>
          <w:b/>
          <w:sz w:val="24"/>
        </w:rPr>
      </w:pPr>
      <w:r>
        <w:rPr>
          <w:b/>
          <w:sz w:val="24"/>
        </w:rPr>
        <w:t>Fines:</w:t>
      </w:r>
    </w:p>
    <w:p>
      <w:pPr>
        <w:pStyle w:val="BodyText"/>
        <w:spacing w:before="101"/>
        <w:ind w:left="1082"/>
      </w:pPr>
      <w:r>
        <w:rPr/>
        <w:t>Los fines de las tres Universidades UNIBOL, aimara, quechua y guaraní so las de :</w:t>
      </w:r>
    </w:p>
    <w:p>
      <w:pPr>
        <w:pStyle w:val="BodyText"/>
        <w:spacing w:before="8"/>
        <w:rPr>
          <w:sz w:val="20"/>
        </w:rPr>
      </w:pPr>
    </w:p>
    <w:p>
      <w:pPr>
        <w:pStyle w:val="ListParagraph"/>
        <w:numPr>
          <w:ilvl w:val="0"/>
          <w:numId w:val="5"/>
        </w:numPr>
        <w:tabs>
          <w:tab w:pos="1406" w:val="left" w:leader="none"/>
        </w:tabs>
        <w:spacing w:line="240" w:lineRule="auto" w:before="0" w:after="0"/>
        <w:ind w:left="1082" w:right="857" w:firstLine="0"/>
        <w:jc w:val="both"/>
        <w:rPr>
          <w:sz w:val="24"/>
        </w:rPr>
      </w:pPr>
      <w:r>
        <w:rPr>
          <w:sz w:val="24"/>
        </w:rPr>
        <w:t>Transformar el carácter colonial del Estado y de la Educación Superior con la formación de recursos humanos con sentido comunitario, productivo e identidad cultural;</w:t>
      </w:r>
    </w:p>
    <w:p>
      <w:pPr>
        <w:spacing w:after="0" w:line="240" w:lineRule="auto"/>
        <w:jc w:val="both"/>
        <w:rPr>
          <w:sz w:val="24"/>
        </w:rPr>
        <w:sectPr>
          <w:pgSz w:w="11910" w:h="16840"/>
          <w:pgMar w:header="0" w:footer="922" w:top="1320" w:bottom="1200" w:left="620" w:right="280"/>
        </w:sectPr>
      </w:pPr>
    </w:p>
    <w:p>
      <w:pPr>
        <w:pStyle w:val="ListParagraph"/>
        <w:numPr>
          <w:ilvl w:val="0"/>
          <w:numId w:val="5"/>
        </w:numPr>
        <w:tabs>
          <w:tab w:pos="1377" w:val="left" w:leader="none"/>
        </w:tabs>
        <w:spacing w:line="240" w:lineRule="auto" w:before="73" w:after="0"/>
        <w:ind w:left="1082" w:right="860" w:firstLine="0"/>
        <w:jc w:val="both"/>
        <w:rPr>
          <w:sz w:val="24"/>
        </w:rPr>
      </w:pPr>
      <w:r>
        <w:rPr>
          <w:sz w:val="24"/>
        </w:rPr>
        <w:t>Articular la Educación Superior con las necesidades regionales de desarrollo y la participación de las comunidades organizadas de la</w:t>
      </w:r>
      <w:r>
        <w:rPr>
          <w:spacing w:val="-5"/>
          <w:sz w:val="24"/>
        </w:rPr>
        <w:t> </w:t>
      </w:r>
      <w:r>
        <w:rPr>
          <w:sz w:val="24"/>
        </w:rPr>
        <w:t>región;</w:t>
      </w:r>
    </w:p>
    <w:p>
      <w:pPr>
        <w:pStyle w:val="BodyText"/>
      </w:pPr>
    </w:p>
    <w:p>
      <w:pPr>
        <w:pStyle w:val="ListParagraph"/>
        <w:numPr>
          <w:ilvl w:val="0"/>
          <w:numId w:val="5"/>
        </w:numPr>
        <w:tabs>
          <w:tab w:pos="1349" w:val="left" w:leader="none"/>
        </w:tabs>
        <w:spacing w:line="240" w:lineRule="auto" w:before="0" w:after="0"/>
        <w:ind w:left="1348" w:right="0" w:hanging="267"/>
        <w:jc w:val="both"/>
        <w:rPr>
          <w:sz w:val="24"/>
        </w:rPr>
      </w:pPr>
      <w:r>
        <w:rPr>
          <w:sz w:val="24"/>
        </w:rPr>
        <w:t>Potenciar la cultura - ideología comunitaria, en base a la cosmovisión</w:t>
      </w:r>
      <w:r>
        <w:rPr>
          <w:spacing w:val="-4"/>
          <w:sz w:val="24"/>
        </w:rPr>
        <w:t> </w:t>
      </w:r>
      <w:r>
        <w:rPr>
          <w:sz w:val="24"/>
        </w:rPr>
        <w:t>quechua;</w:t>
      </w:r>
    </w:p>
    <w:p>
      <w:pPr>
        <w:pStyle w:val="BodyText"/>
      </w:pPr>
    </w:p>
    <w:p>
      <w:pPr>
        <w:pStyle w:val="ListParagraph"/>
        <w:numPr>
          <w:ilvl w:val="0"/>
          <w:numId w:val="5"/>
        </w:numPr>
        <w:tabs>
          <w:tab w:pos="1406" w:val="left" w:leader="none"/>
        </w:tabs>
        <w:spacing w:line="240" w:lineRule="auto" w:before="1" w:after="0"/>
        <w:ind w:left="1082" w:right="858" w:firstLine="0"/>
        <w:jc w:val="both"/>
        <w:rPr>
          <w:sz w:val="24"/>
        </w:rPr>
      </w:pPr>
      <w:r>
        <w:rPr>
          <w:sz w:val="24"/>
        </w:rPr>
        <w:t>Desarrollar programas de formación académica con pensamiento y percepción holística;</w:t>
      </w:r>
    </w:p>
    <w:p>
      <w:pPr>
        <w:pStyle w:val="BodyText"/>
        <w:spacing w:before="11"/>
        <w:rPr>
          <w:sz w:val="23"/>
        </w:rPr>
      </w:pPr>
    </w:p>
    <w:p>
      <w:pPr>
        <w:pStyle w:val="ListParagraph"/>
        <w:numPr>
          <w:ilvl w:val="0"/>
          <w:numId w:val="5"/>
        </w:numPr>
        <w:tabs>
          <w:tab w:pos="1418" w:val="left" w:leader="none"/>
        </w:tabs>
        <w:spacing w:line="240" w:lineRule="auto" w:before="0" w:after="0"/>
        <w:ind w:left="1082" w:right="857" w:firstLine="0"/>
        <w:jc w:val="both"/>
        <w:rPr>
          <w:sz w:val="24"/>
        </w:rPr>
      </w:pPr>
      <w:r>
        <w:rPr>
          <w:sz w:val="24"/>
        </w:rPr>
        <w:t>Fortalecer los saberes y conocimientos de la tecnología Indígena comunitaria quechua, con base en su “cosmovisión” y existencia milenaria de la cultura e ideología</w:t>
      </w:r>
      <w:r>
        <w:rPr>
          <w:spacing w:val="-1"/>
          <w:sz w:val="24"/>
        </w:rPr>
        <w:t> </w:t>
      </w:r>
      <w:r>
        <w:rPr>
          <w:sz w:val="24"/>
        </w:rPr>
        <w:t>originaria;</w:t>
      </w:r>
    </w:p>
    <w:p>
      <w:pPr>
        <w:pStyle w:val="BodyText"/>
        <w:spacing w:before="1"/>
      </w:pPr>
    </w:p>
    <w:p>
      <w:pPr>
        <w:pStyle w:val="ListParagraph"/>
        <w:numPr>
          <w:ilvl w:val="0"/>
          <w:numId w:val="5"/>
        </w:numPr>
        <w:tabs>
          <w:tab w:pos="1299" w:val="left" w:leader="none"/>
        </w:tabs>
        <w:spacing w:line="240" w:lineRule="auto" w:before="0" w:after="0"/>
        <w:ind w:left="1298" w:right="0" w:hanging="217"/>
        <w:jc w:val="both"/>
        <w:rPr>
          <w:sz w:val="24"/>
        </w:rPr>
      </w:pPr>
      <w:r>
        <w:rPr>
          <w:sz w:val="24"/>
        </w:rPr>
        <w:t>Contribuir a la defensa y preservación de la Madre</w:t>
      </w:r>
      <w:r>
        <w:rPr>
          <w:spacing w:val="-7"/>
          <w:sz w:val="24"/>
        </w:rPr>
        <w:t> </w:t>
      </w:r>
      <w:r>
        <w:rPr>
          <w:sz w:val="24"/>
        </w:rPr>
        <w:t>Tierra;</w:t>
      </w:r>
    </w:p>
    <w:p>
      <w:pPr>
        <w:pStyle w:val="BodyText"/>
      </w:pPr>
    </w:p>
    <w:p>
      <w:pPr>
        <w:pStyle w:val="ListParagraph"/>
        <w:numPr>
          <w:ilvl w:val="0"/>
          <w:numId w:val="5"/>
        </w:numPr>
        <w:tabs>
          <w:tab w:pos="1550" w:val="left" w:leader="none"/>
        </w:tabs>
        <w:spacing w:line="240" w:lineRule="auto" w:before="0" w:after="0"/>
        <w:ind w:left="1082" w:right="855" w:firstLine="0"/>
        <w:jc w:val="both"/>
        <w:rPr>
          <w:sz w:val="24"/>
        </w:rPr>
      </w:pPr>
      <w:r>
        <w:rPr>
          <w:sz w:val="24"/>
        </w:rPr>
        <w:t>Desarrollar y aplicar procesos pedagógicos comunitarios, productivos, descolonizantes, participativos y propositivos para potenciar las capacidades y potencialidades de las mujeres y</w:t>
      </w:r>
      <w:r>
        <w:rPr>
          <w:spacing w:val="-13"/>
          <w:sz w:val="24"/>
        </w:rPr>
        <w:t> </w:t>
      </w:r>
      <w:r>
        <w:rPr>
          <w:sz w:val="24"/>
        </w:rPr>
        <w:t>hombres;</w:t>
      </w:r>
    </w:p>
    <w:p>
      <w:pPr>
        <w:pStyle w:val="BodyText"/>
      </w:pPr>
    </w:p>
    <w:p>
      <w:pPr>
        <w:pStyle w:val="ListParagraph"/>
        <w:numPr>
          <w:ilvl w:val="0"/>
          <w:numId w:val="5"/>
        </w:numPr>
        <w:tabs>
          <w:tab w:pos="1425" w:val="left" w:leader="none"/>
        </w:tabs>
        <w:spacing w:line="240" w:lineRule="auto" w:before="0" w:after="0"/>
        <w:ind w:left="1082" w:right="847" w:firstLine="0"/>
        <w:jc w:val="both"/>
        <w:rPr>
          <w:sz w:val="24"/>
        </w:rPr>
      </w:pPr>
      <w:r>
        <w:rPr>
          <w:sz w:val="24"/>
        </w:rPr>
        <w:t>Fortalecer los conocimientos y tecnologías Indígenas quechuas, promoviendo procesos de producción, sistematización, socialización, publicación, difusión y aplicación en complementariedad y reciprocidad con los saberes y la ciencia alcanzada por la</w:t>
      </w:r>
      <w:r>
        <w:rPr>
          <w:spacing w:val="-5"/>
          <w:sz w:val="24"/>
        </w:rPr>
        <w:t> </w:t>
      </w:r>
      <w:r>
        <w:rPr>
          <w:sz w:val="24"/>
        </w:rPr>
        <w:t>humanidad;</w:t>
      </w:r>
    </w:p>
    <w:p>
      <w:pPr>
        <w:pStyle w:val="BodyText"/>
      </w:pPr>
    </w:p>
    <w:p>
      <w:pPr>
        <w:pStyle w:val="ListParagraph"/>
        <w:numPr>
          <w:ilvl w:val="0"/>
          <w:numId w:val="5"/>
        </w:numPr>
        <w:tabs>
          <w:tab w:pos="1339" w:val="left" w:leader="none"/>
        </w:tabs>
        <w:spacing w:line="240" w:lineRule="auto" w:before="0" w:after="0"/>
        <w:ind w:left="1082" w:right="847" w:firstLine="0"/>
        <w:jc w:val="both"/>
        <w:rPr>
          <w:sz w:val="24"/>
        </w:rPr>
      </w:pPr>
      <w:r>
        <w:rPr>
          <w:sz w:val="24"/>
        </w:rPr>
        <w:t>Promover el uso y aprovechamiento de las nuevas tecnologías, información y comunicaciones en el proceso de enseñanza y</w:t>
      </w:r>
      <w:r>
        <w:rPr>
          <w:spacing w:val="-12"/>
          <w:sz w:val="24"/>
        </w:rPr>
        <w:t> </w:t>
      </w:r>
      <w:r>
        <w:rPr>
          <w:sz w:val="24"/>
        </w:rPr>
        <w:t>aprendizaje;</w:t>
      </w:r>
    </w:p>
    <w:p>
      <w:pPr>
        <w:pStyle w:val="BodyText"/>
      </w:pPr>
    </w:p>
    <w:p>
      <w:pPr>
        <w:pStyle w:val="ListParagraph"/>
        <w:numPr>
          <w:ilvl w:val="0"/>
          <w:numId w:val="5"/>
        </w:numPr>
        <w:tabs>
          <w:tab w:pos="1394" w:val="left" w:leader="none"/>
        </w:tabs>
        <w:spacing w:line="240" w:lineRule="auto" w:before="0" w:after="0"/>
        <w:ind w:left="1082" w:right="853" w:firstLine="0"/>
        <w:jc w:val="both"/>
        <w:rPr>
          <w:sz w:val="24"/>
        </w:rPr>
      </w:pPr>
      <w:r>
        <w:rPr>
          <w:sz w:val="24"/>
        </w:rPr>
        <w:t>Contribuir y promover la producción comunitaria ecológica y la economía comunitaria, fortaleciendo las matrices productivas</w:t>
      </w:r>
      <w:r>
        <w:rPr>
          <w:spacing w:val="-5"/>
          <w:sz w:val="24"/>
        </w:rPr>
        <w:t> </w:t>
      </w:r>
      <w:r>
        <w:rPr>
          <w:sz w:val="24"/>
        </w:rPr>
        <w:t>diversificadas.</w:t>
      </w:r>
    </w:p>
    <w:p>
      <w:pPr>
        <w:pStyle w:val="BodyText"/>
      </w:pPr>
    </w:p>
    <w:p>
      <w:pPr>
        <w:pStyle w:val="ListParagraph"/>
        <w:numPr>
          <w:ilvl w:val="0"/>
          <w:numId w:val="5"/>
        </w:numPr>
        <w:tabs>
          <w:tab w:pos="1380" w:val="left" w:leader="none"/>
        </w:tabs>
        <w:spacing w:line="240" w:lineRule="auto" w:before="1" w:after="0"/>
        <w:ind w:left="1082" w:right="853" w:firstLine="0"/>
        <w:jc w:val="both"/>
        <w:rPr>
          <w:sz w:val="24"/>
        </w:rPr>
      </w:pPr>
      <w:r>
        <w:rPr>
          <w:sz w:val="24"/>
        </w:rPr>
        <w:t>Desarrollar procesos de educación superior comunitaria quechua con la crianza de sabidurías y tecnologías ancestrales conjuncionadas con conocimientos y tecnologías actuales para dar respuesta a demandas y requerimientos comunitarios de la Nación</w:t>
      </w:r>
      <w:r>
        <w:rPr>
          <w:spacing w:val="2"/>
          <w:sz w:val="24"/>
        </w:rPr>
        <w:t> </w:t>
      </w:r>
      <w:r>
        <w:rPr>
          <w:sz w:val="24"/>
        </w:rPr>
        <w:t>Quechua.</w:t>
      </w:r>
    </w:p>
    <w:p>
      <w:pPr>
        <w:pStyle w:val="BodyText"/>
        <w:spacing w:before="2"/>
      </w:pPr>
    </w:p>
    <w:p>
      <w:pPr>
        <w:pStyle w:val="ListParagraph"/>
        <w:numPr>
          <w:ilvl w:val="0"/>
          <w:numId w:val="5"/>
        </w:numPr>
        <w:tabs>
          <w:tab w:pos="1325" w:val="left" w:leader="none"/>
        </w:tabs>
        <w:spacing w:line="276" w:lineRule="auto" w:before="0" w:after="0"/>
        <w:ind w:left="1082" w:right="845" w:firstLine="0"/>
        <w:jc w:val="both"/>
        <w:rPr>
          <w:sz w:val="24"/>
        </w:rPr>
      </w:pPr>
      <w:r>
        <w:rPr>
          <w:sz w:val="24"/>
        </w:rPr>
        <w:t>Formar Runas, mujeres y hombres quechuas íntegros, basadas en principios y valores de nuestra Pacha capaces de dar respuestas prácticas a los intereses y necesidades de nuestros pueblos de la Nación Quechua y del Estado Plurinacional boliviano.</w:t>
      </w:r>
    </w:p>
    <w:p>
      <w:pPr>
        <w:pStyle w:val="ListParagraph"/>
        <w:numPr>
          <w:ilvl w:val="0"/>
          <w:numId w:val="5"/>
        </w:numPr>
        <w:tabs>
          <w:tab w:pos="1481" w:val="left" w:leader="none"/>
        </w:tabs>
        <w:spacing w:line="276" w:lineRule="auto" w:before="200" w:after="0"/>
        <w:ind w:left="1082" w:right="853" w:firstLine="0"/>
        <w:jc w:val="both"/>
        <w:rPr>
          <w:sz w:val="24"/>
        </w:rPr>
      </w:pPr>
      <w:r>
        <w:rPr>
          <w:sz w:val="24"/>
        </w:rPr>
        <w:t>Formar profesionales orgánicos con vocación de servicio comunitario, de alta capacidad técnico práctico aplicativo y reflexivo, en función de las necesidades locales y de conjunto de las comunidades de la Nación</w:t>
      </w:r>
      <w:r>
        <w:rPr>
          <w:spacing w:val="-10"/>
          <w:sz w:val="24"/>
        </w:rPr>
        <w:t> </w:t>
      </w:r>
      <w:r>
        <w:rPr>
          <w:sz w:val="24"/>
        </w:rPr>
        <w:t>Quechua.</w:t>
      </w:r>
    </w:p>
    <w:p>
      <w:pPr>
        <w:pStyle w:val="ListParagraph"/>
        <w:numPr>
          <w:ilvl w:val="0"/>
          <w:numId w:val="5"/>
        </w:numPr>
        <w:tabs>
          <w:tab w:pos="1363" w:val="left" w:leader="none"/>
        </w:tabs>
        <w:spacing w:line="240" w:lineRule="auto" w:before="200" w:after="0"/>
        <w:ind w:left="1362" w:right="0" w:hanging="281"/>
        <w:jc w:val="both"/>
        <w:rPr>
          <w:sz w:val="24"/>
        </w:rPr>
      </w:pPr>
      <w:r>
        <w:rPr>
          <w:sz w:val="24"/>
        </w:rPr>
        <w:t>Cultivar el Runa Simi o quechua, como base de la descolonización</w:t>
      </w:r>
      <w:r>
        <w:rPr>
          <w:spacing w:val="-7"/>
          <w:sz w:val="24"/>
        </w:rPr>
        <w:t> </w:t>
      </w:r>
      <w:r>
        <w:rPr>
          <w:sz w:val="24"/>
        </w:rPr>
        <w:t>epistemológica</w:t>
      </w:r>
    </w:p>
    <w:p>
      <w:pPr>
        <w:pStyle w:val="BodyText"/>
        <w:spacing w:before="1"/>
        <w:rPr>
          <w:sz w:val="21"/>
        </w:rPr>
      </w:pPr>
    </w:p>
    <w:p>
      <w:pPr>
        <w:pStyle w:val="BodyText"/>
        <w:spacing w:line="276" w:lineRule="auto"/>
        <w:ind w:left="1082" w:right="848"/>
        <w:jc w:val="both"/>
      </w:pPr>
      <w:r>
        <w:rPr/>
        <w:t>ñ) Cultivar las ciencias, tecnologías, artes, espiritualidades ancestrales en beneficio comunitario de nuestras familias, comunidades, del conjunto de la Nación Quechua, del Estado Plurinacional y del planeta.</w:t>
      </w:r>
    </w:p>
    <w:p>
      <w:pPr>
        <w:pStyle w:val="Heading3"/>
        <w:spacing w:before="198"/>
        <w:ind w:left="1790"/>
      </w:pPr>
      <w:r>
        <w:rPr/>
        <w:t>Objetivos</w:t>
      </w:r>
    </w:p>
    <w:p>
      <w:pPr>
        <w:spacing w:after="0"/>
        <w:sectPr>
          <w:pgSz w:w="11910" w:h="16840"/>
          <w:pgMar w:header="0" w:footer="922" w:top="1320" w:bottom="1200" w:left="620" w:right="280"/>
        </w:sectPr>
      </w:pPr>
    </w:p>
    <w:p>
      <w:pPr>
        <w:pStyle w:val="BodyText"/>
        <w:spacing w:before="89"/>
        <w:ind w:left="1082" w:right="1143"/>
      </w:pPr>
      <w:r>
        <w:rPr/>
        <w:t>Los objetivos de la Universidad Indígena Boliviana, Comunitaria, Intercultural, Productiva, UNIBOL QUECHUA “Casimiro Huanca” son:</w:t>
      </w:r>
    </w:p>
    <w:p>
      <w:pPr>
        <w:pStyle w:val="BodyText"/>
      </w:pPr>
    </w:p>
    <w:p>
      <w:pPr>
        <w:pStyle w:val="ListParagraph"/>
        <w:numPr>
          <w:ilvl w:val="0"/>
          <w:numId w:val="6"/>
        </w:numPr>
        <w:tabs>
          <w:tab w:pos="1334" w:val="left" w:leader="none"/>
        </w:tabs>
        <w:spacing w:line="240" w:lineRule="auto" w:before="0" w:after="0"/>
        <w:ind w:left="1082" w:right="855" w:firstLine="0"/>
        <w:jc w:val="both"/>
        <w:rPr>
          <w:sz w:val="24"/>
        </w:rPr>
      </w:pPr>
      <w:r>
        <w:rPr>
          <w:sz w:val="24"/>
        </w:rPr>
        <w:t>Formar mujeres y hombres profesionales capaces, responsables y conscientes para asumir los retos del Nuevo Estado Plurinacional, con una visión integral y descolonizadora, promoviendo el Vivir</w:t>
      </w:r>
      <w:r>
        <w:rPr>
          <w:spacing w:val="-5"/>
          <w:sz w:val="24"/>
        </w:rPr>
        <w:t> </w:t>
      </w:r>
      <w:r>
        <w:rPr>
          <w:sz w:val="24"/>
        </w:rPr>
        <w:t>Bien.</w:t>
      </w:r>
    </w:p>
    <w:p>
      <w:pPr>
        <w:pStyle w:val="BodyText"/>
      </w:pPr>
    </w:p>
    <w:p>
      <w:pPr>
        <w:pStyle w:val="ListParagraph"/>
        <w:numPr>
          <w:ilvl w:val="0"/>
          <w:numId w:val="6"/>
        </w:numPr>
        <w:tabs>
          <w:tab w:pos="1358" w:val="left" w:leader="none"/>
        </w:tabs>
        <w:spacing w:line="240" w:lineRule="auto" w:before="1" w:after="0"/>
        <w:ind w:left="1082" w:right="848" w:firstLine="0"/>
        <w:jc w:val="both"/>
        <w:rPr>
          <w:sz w:val="24"/>
        </w:rPr>
      </w:pPr>
      <w:r>
        <w:rPr>
          <w:sz w:val="24"/>
        </w:rPr>
        <w:t>Contribuir con propuestas políticas de respeto a la identidad cultural-ideológica de la comunidad y la Nacion Quechua, a sus sabidurías, conocimientos científicos y tecnológicos, a su espiritualidad, a sus derechos y sus formas de organización social y</w:t>
      </w:r>
      <w:r>
        <w:rPr>
          <w:spacing w:val="-3"/>
          <w:sz w:val="24"/>
        </w:rPr>
        <w:t> </w:t>
      </w:r>
      <w:r>
        <w:rPr>
          <w:sz w:val="24"/>
        </w:rPr>
        <w:t>política.</w:t>
      </w:r>
    </w:p>
    <w:p>
      <w:pPr>
        <w:pStyle w:val="BodyText"/>
      </w:pPr>
    </w:p>
    <w:p>
      <w:pPr>
        <w:pStyle w:val="ListParagraph"/>
        <w:numPr>
          <w:ilvl w:val="0"/>
          <w:numId w:val="6"/>
        </w:numPr>
        <w:tabs>
          <w:tab w:pos="1466" w:val="left" w:leader="none"/>
        </w:tabs>
        <w:spacing w:line="240" w:lineRule="auto" w:before="0" w:after="0"/>
        <w:ind w:left="1082" w:right="849" w:firstLine="0"/>
        <w:jc w:val="both"/>
        <w:rPr>
          <w:sz w:val="24"/>
        </w:rPr>
      </w:pPr>
      <w:r>
        <w:rPr>
          <w:sz w:val="24"/>
        </w:rPr>
        <w:t>Desarrollar políticas sociales comunitarias productivas, priorizando la salud, la educación, la lucha contra la pobreza y la soberanía alimentaria, sobre la base de  los principios ancestrales de la cultura quechua e ideología originaria, así como la conjunción entre los conocimientos y saberes ancestrales y la actual ciencia y tecnología</w:t>
      </w:r>
      <w:r>
        <w:rPr>
          <w:spacing w:val="-1"/>
          <w:sz w:val="24"/>
        </w:rPr>
        <w:t> </w:t>
      </w:r>
      <w:r>
        <w:rPr>
          <w:sz w:val="24"/>
        </w:rPr>
        <w:t>alcanzada.</w:t>
      </w:r>
    </w:p>
    <w:p>
      <w:pPr>
        <w:pStyle w:val="BodyText"/>
      </w:pPr>
    </w:p>
    <w:p>
      <w:pPr>
        <w:pStyle w:val="ListParagraph"/>
        <w:numPr>
          <w:ilvl w:val="0"/>
          <w:numId w:val="6"/>
        </w:numPr>
        <w:tabs>
          <w:tab w:pos="1500" w:val="left" w:leader="none"/>
        </w:tabs>
        <w:spacing w:line="240" w:lineRule="auto" w:before="0" w:after="0"/>
        <w:ind w:left="1082" w:right="850" w:firstLine="0"/>
        <w:jc w:val="both"/>
        <w:rPr>
          <w:sz w:val="24"/>
        </w:rPr>
      </w:pPr>
      <w:r>
        <w:rPr>
          <w:sz w:val="24"/>
        </w:rPr>
        <w:t>Contribuir al fortalecimiento de las instituciones de la comunidad y la nación Quechua, como unidades de producción diversificada, mediante la formación de técnicos y profesionales, debidamente capacitados para enfrentar el reto histórico del nuevo Estado</w:t>
      </w:r>
      <w:r>
        <w:rPr>
          <w:spacing w:val="-3"/>
          <w:sz w:val="24"/>
        </w:rPr>
        <w:t> </w:t>
      </w:r>
      <w:r>
        <w:rPr>
          <w:sz w:val="24"/>
        </w:rPr>
        <w:t>Plurinacional.</w:t>
      </w:r>
    </w:p>
    <w:p>
      <w:pPr>
        <w:pStyle w:val="BodyText"/>
        <w:spacing w:before="1"/>
      </w:pPr>
    </w:p>
    <w:p>
      <w:pPr>
        <w:pStyle w:val="ListParagraph"/>
        <w:numPr>
          <w:ilvl w:val="0"/>
          <w:numId w:val="6"/>
        </w:numPr>
        <w:tabs>
          <w:tab w:pos="1432" w:val="left" w:leader="none"/>
        </w:tabs>
        <w:spacing w:line="240" w:lineRule="auto" w:before="0" w:after="0"/>
        <w:ind w:left="1082" w:right="849" w:firstLine="0"/>
        <w:jc w:val="both"/>
        <w:rPr>
          <w:sz w:val="24"/>
        </w:rPr>
      </w:pPr>
      <w:r>
        <w:rPr>
          <w:sz w:val="24"/>
        </w:rPr>
        <w:t>Contribuir a las políticas de preservación y protección de los ecosistemas, la biodiversidad y el medio ambiente, de acuerdo a los pisos ecológicos existentes en nuestras territorialidades</w:t>
      </w:r>
      <w:r>
        <w:rPr>
          <w:spacing w:val="-4"/>
          <w:sz w:val="24"/>
        </w:rPr>
        <w:t> </w:t>
      </w:r>
      <w:r>
        <w:rPr>
          <w:sz w:val="24"/>
        </w:rPr>
        <w:t>quechuas.</w:t>
      </w:r>
    </w:p>
    <w:p>
      <w:pPr>
        <w:pStyle w:val="BodyText"/>
        <w:spacing w:before="10"/>
        <w:rPr>
          <w:sz w:val="26"/>
        </w:rPr>
      </w:pPr>
    </w:p>
    <w:p>
      <w:pPr>
        <w:pStyle w:val="ListParagraph"/>
        <w:numPr>
          <w:ilvl w:val="0"/>
          <w:numId w:val="6"/>
        </w:numPr>
        <w:tabs>
          <w:tab w:pos="1526" w:val="left" w:leader="none"/>
        </w:tabs>
        <w:spacing w:line="240" w:lineRule="auto" w:before="1" w:after="0"/>
        <w:ind w:left="1082" w:right="846" w:firstLine="0"/>
        <w:jc w:val="both"/>
        <w:rPr>
          <w:sz w:val="24"/>
        </w:rPr>
      </w:pPr>
      <w:r>
        <w:rPr>
          <w:sz w:val="24"/>
        </w:rPr>
        <w:t>Desarrollar estrategias de investigación científica y tecnológica comunitaria, mediante el servicio comunitario</w:t>
      </w:r>
      <w:r>
        <w:rPr>
          <w:spacing w:val="2"/>
          <w:sz w:val="24"/>
        </w:rPr>
        <w:t> </w:t>
      </w:r>
      <w:r>
        <w:rPr>
          <w:sz w:val="24"/>
        </w:rPr>
        <w:t>organico-docente-estudiantil.</w:t>
      </w:r>
    </w:p>
    <w:p>
      <w:pPr>
        <w:pStyle w:val="BodyText"/>
        <w:spacing w:before="11"/>
        <w:rPr>
          <w:sz w:val="23"/>
        </w:rPr>
      </w:pPr>
    </w:p>
    <w:p>
      <w:pPr>
        <w:pStyle w:val="Heading3"/>
        <w:numPr>
          <w:ilvl w:val="1"/>
          <w:numId w:val="4"/>
        </w:numPr>
        <w:tabs>
          <w:tab w:pos="2377" w:val="left" w:leader="none"/>
          <w:tab w:pos="2378" w:val="left" w:leader="none"/>
          <w:tab w:pos="4939" w:val="left" w:leader="none"/>
          <w:tab w:pos="6668" w:val="left" w:leader="none"/>
          <w:tab w:pos="9292" w:val="left" w:leader="none"/>
          <w:tab w:pos="9827" w:val="left" w:leader="none"/>
        </w:tabs>
        <w:spacing w:line="240" w:lineRule="auto" w:before="0" w:after="0"/>
        <w:ind w:left="2378" w:right="852" w:hanging="720"/>
        <w:jc w:val="left"/>
      </w:pPr>
      <w:r>
        <w:rPr/>
        <w:t>CARACTERÍSTICAS,</w:t>
        <w:tab/>
        <w:t>ALCANCES</w:t>
        <w:tab/>
        <w:t>Y </w:t>
      </w:r>
      <w:r>
        <w:rPr>
          <w:spacing w:val="61"/>
        </w:rPr>
        <w:t> </w:t>
      </w:r>
      <w:r>
        <w:rPr/>
        <w:t>FUNDAMENTOS</w:t>
        <w:tab/>
        <w:t>DE</w:t>
        <w:tab/>
      </w:r>
      <w:r>
        <w:rPr>
          <w:spacing w:val="-7"/>
        </w:rPr>
        <w:t>LA </w:t>
      </w:r>
      <w:r>
        <w:rPr/>
        <w:t>UNIBOL</w:t>
      </w:r>
    </w:p>
    <w:p>
      <w:pPr>
        <w:pStyle w:val="BodyText"/>
        <w:rPr>
          <w:b/>
        </w:rPr>
      </w:pPr>
    </w:p>
    <w:p>
      <w:pPr>
        <w:spacing w:before="0"/>
        <w:ind w:left="1082" w:right="0" w:firstLine="0"/>
        <w:jc w:val="left"/>
        <w:rPr>
          <w:b/>
          <w:sz w:val="24"/>
        </w:rPr>
      </w:pPr>
      <w:r>
        <w:rPr>
          <w:b/>
          <w:sz w:val="24"/>
        </w:rPr>
        <w:t>Características:</w:t>
      </w:r>
    </w:p>
    <w:p>
      <w:pPr>
        <w:pStyle w:val="BodyText"/>
        <w:spacing w:before="1"/>
        <w:ind w:left="1082"/>
      </w:pPr>
      <w:r>
        <w:rPr/>
        <w:t>La UNIBOL QUECHUA, tiene las siguientes características:</w:t>
      </w:r>
    </w:p>
    <w:p>
      <w:pPr>
        <w:pStyle w:val="ListParagraph"/>
        <w:numPr>
          <w:ilvl w:val="0"/>
          <w:numId w:val="7"/>
        </w:numPr>
        <w:tabs>
          <w:tab w:pos="1363" w:val="left" w:leader="none"/>
        </w:tabs>
        <w:spacing w:line="240" w:lineRule="auto" w:before="0" w:after="0"/>
        <w:ind w:left="1362" w:right="0" w:hanging="281"/>
        <w:jc w:val="left"/>
        <w:rPr>
          <w:sz w:val="24"/>
        </w:rPr>
      </w:pPr>
      <w:r>
        <w:rPr>
          <w:sz w:val="24"/>
        </w:rPr>
        <w:t>Formación profesional en base a destrezas, habilidades, virtudes,</w:t>
      </w:r>
      <w:r>
        <w:rPr>
          <w:spacing w:val="-3"/>
          <w:sz w:val="24"/>
        </w:rPr>
        <w:t> </w:t>
      </w:r>
      <w:r>
        <w:rPr>
          <w:sz w:val="24"/>
        </w:rPr>
        <w:t>rendimientos;</w:t>
      </w:r>
    </w:p>
    <w:p>
      <w:pPr>
        <w:pStyle w:val="ListParagraph"/>
        <w:numPr>
          <w:ilvl w:val="0"/>
          <w:numId w:val="7"/>
        </w:numPr>
        <w:tabs>
          <w:tab w:pos="1363" w:val="left" w:leader="none"/>
        </w:tabs>
        <w:spacing w:line="240" w:lineRule="auto" w:before="14" w:after="0"/>
        <w:ind w:left="1362" w:right="0" w:hanging="281"/>
        <w:jc w:val="left"/>
        <w:rPr>
          <w:sz w:val="24"/>
        </w:rPr>
      </w:pPr>
      <w:r>
        <w:rPr>
          <w:sz w:val="24"/>
        </w:rPr>
        <w:t>Desarrollan preferentemente bajo régimen de</w:t>
      </w:r>
      <w:r>
        <w:rPr>
          <w:spacing w:val="-7"/>
          <w:sz w:val="24"/>
        </w:rPr>
        <w:t> </w:t>
      </w:r>
      <w:r>
        <w:rPr>
          <w:sz w:val="24"/>
        </w:rPr>
        <w:t>internado;</w:t>
      </w:r>
    </w:p>
    <w:p>
      <w:pPr>
        <w:pStyle w:val="ListParagraph"/>
        <w:numPr>
          <w:ilvl w:val="0"/>
          <w:numId w:val="7"/>
        </w:numPr>
        <w:tabs>
          <w:tab w:pos="1402" w:val="left" w:leader="none"/>
        </w:tabs>
        <w:spacing w:line="240" w:lineRule="auto" w:before="15" w:after="0"/>
        <w:ind w:left="1082" w:right="850" w:firstLine="0"/>
        <w:jc w:val="left"/>
        <w:rPr>
          <w:sz w:val="24"/>
        </w:rPr>
      </w:pPr>
      <w:r>
        <w:rPr>
          <w:sz w:val="24"/>
        </w:rPr>
        <w:t>Formación orientada a la producción, la economía comunitaria y la soberanía alimentaria</w:t>
      </w:r>
      <w:r>
        <w:rPr>
          <w:spacing w:val="-1"/>
          <w:sz w:val="24"/>
        </w:rPr>
        <w:t> </w:t>
      </w:r>
      <w:r>
        <w:rPr>
          <w:sz w:val="24"/>
        </w:rPr>
        <w:t>saludable;</w:t>
      </w:r>
    </w:p>
    <w:p>
      <w:pPr>
        <w:pStyle w:val="ListParagraph"/>
        <w:numPr>
          <w:ilvl w:val="0"/>
          <w:numId w:val="7"/>
        </w:numPr>
        <w:tabs>
          <w:tab w:pos="1363" w:val="left" w:leader="none"/>
        </w:tabs>
        <w:spacing w:line="240" w:lineRule="auto" w:before="14" w:after="0"/>
        <w:ind w:left="1362" w:right="0" w:hanging="281"/>
        <w:jc w:val="left"/>
        <w:rPr>
          <w:sz w:val="24"/>
        </w:rPr>
      </w:pPr>
      <w:r>
        <w:rPr>
          <w:sz w:val="24"/>
        </w:rPr>
        <w:t>Integran la teoría, la práctica y la convivencia</w:t>
      </w:r>
      <w:r>
        <w:rPr>
          <w:spacing w:val="-5"/>
          <w:sz w:val="24"/>
        </w:rPr>
        <w:t> </w:t>
      </w:r>
      <w:r>
        <w:rPr>
          <w:sz w:val="24"/>
        </w:rPr>
        <w:t>comunitaria;</w:t>
      </w:r>
    </w:p>
    <w:p>
      <w:pPr>
        <w:pStyle w:val="ListParagraph"/>
        <w:numPr>
          <w:ilvl w:val="0"/>
          <w:numId w:val="7"/>
        </w:numPr>
        <w:tabs>
          <w:tab w:pos="1363" w:val="left" w:leader="none"/>
        </w:tabs>
        <w:spacing w:line="240" w:lineRule="auto" w:before="15" w:after="0"/>
        <w:ind w:left="1362" w:right="0" w:hanging="281"/>
        <w:jc w:val="left"/>
        <w:rPr>
          <w:sz w:val="24"/>
        </w:rPr>
      </w:pPr>
      <w:r>
        <w:rPr>
          <w:sz w:val="24"/>
        </w:rPr>
        <w:t>En idioma quechua y</w:t>
      </w:r>
      <w:r>
        <w:rPr>
          <w:spacing w:val="-3"/>
          <w:sz w:val="24"/>
        </w:rPr>
        <w:t> </w:t>
      </w:r>
      <w:r>
        <w:rPr>
          <w:sz w:val="24"/>
        </w:rPr>
        <w:t>Plurilingües;</w:t>
      </w:r>
    </w:p>
    <w:p>
      <w:pPr>
        <w:pStyle w:val="ListParagraph"/>
        <w:numPr>
          <w:ilvl w:val="0"/>
          <w:numId w:val="7"/>
        </w:numPr>
        <w:tabs>
          <w:tab w:pos="1299" w:val="left" w:leader="none"/>
        </w:tabs>
        <w:spacing w:line="240" w:lineRule="auto" w:before="12" w:after="0"/>
        <w:ind w:left="1298" w:right="0" w:hanging="217"/>
        <w:jc w:val="left"/>
        <w:rPr>
          <w:sz w:val="24"/>
        </w:rPr>
      </w:pPr>
      <w:r>
        <w:rPr>
          <w:sz w:val="24"/>
        </w:rPr>
        <w:t>Realizan actividades productivas</w:t>
      </w:r>
      <w:r>
        <w:rPr>
          <w:spacing w:val="-1"/>
          <w:sz w:val="24"/>
        </w:rPr>
        <w:t> </w:t>
      </w:r>
      <w:r>
        <w:rPr>
          <w:sz w:val="24"/>
        </w:rPr>
        <w:t>comunitarias;</w:t>
      </w:r>
    </w:p>
    <w:p>
      <w:pPr>
        <w:pStyle w:val="ListParagraph"/>
        <w:numPr>
          <w:ilvl w:val="0"/>
          <w:numId w:val="7"/>
        </w:numPr>
        <w:tabs>
          <w:tab w:pos="1361" w:val="left" w:leader="none"/>
        </w:tabs>
        <w:spacing w:line="240" w:lineRule="auto" w:before="14" w:after="0"/>
        <w:ind w:left="1360" w:right="0" w:hanging="279"/>
        <w:jc w:val="left"/>
        <w:rPr>
          <w:sz w:val="24"/>
        </w:rPr>
      </w:pPr>
      <w:r>
        <w:rPr>
          <w:sz w:val="24"/>
        </w:rPr>
        <w:t>Están sujetas a evaluación comunitaria</w:t>
      </w:r>
      <w:r>
        <w:rPr>
          <w:spacing w:val="1"/>
          <w:sz w:val="24"/>
        </w:rPr>
        <w:t> </w:t>
      </w:r>
      <w:r>
        <w:rPr>
          <w:sz w:val="24"/>
        </w:rPr>
        <w:t>permanente;</w:t>
      </w:r>
    </w:p>
    <w:p>
      <w:pPr>
        <w:pStyle w:val="BodyText"/>
        <w:rPr>
          <w:sz w:val="26"/>
        </w:rPr>
      </w:pPr>
    </w:p>
    <w:p>
      <w:pPr>
        <w:pStyle w:val="BodyText"/>
        <w:spacing w:before="8"/>
        <w:rPr>
          <w:sz w:val="22"/>
        </w:rPr>
      </w:pPr>
    </w:p>
    <w:p>
      <w:pPr>
        <w:pStyle w:val="Heading3"/>
        <w:ind w:left="1658"/>
      </w:pPr>
      <w:r>
        <w:rPr/>
        <w:t>Alcances:</w:t>
      </w:r>
    </w:p>
    <w:p>
      <w:pPr>
        <w:pStyle w:val="BodyText"/>
        <w:spacing w:before="101"/>
        <w:ind w:left="1082" w:right="1143"/>
      </w:pPr>
      <w:r>
        <w:rPr/>
        <w:t>La Universidad Indígena Boliviana, Comunitaria, Intercultural, Productiva UNIBOL QUECHUA “Casimiro Huanca”, tiene alcances relacionados con:</w:t>
      </w:r>
    </w:p>
    <w:p>
      <w:pPr>
        <w:spacing w:after="0"/>
        <w:sectPr>
          <w:pgSz w:w="11910" w:h="16840"/>
          <w:pgMar w:header="0" w:footer="922" w:top="1580" w:bottom="1200" w:left="620" w:right="280"/>
        </w:sectPr>
      </w:pPr>
    </w:p>
    <w:p>
      <w:pPr>
        <w:pStyle w:val="ListParagraph"/>
        <w:numPr>
          <w:ilvl w:val="0"/>
          <w:numId w:val="8"/>
        </w:numPr>
        <w:tabs>
          <w:tab w:pos="1303" w:val="left" w:leader="none"/>
        </w:tabs>
        <w:spacing w:line="240" w:lineRule="auto" w:before="89" w:after="0"/>
        <w:ind w:left="1082" w:right="847" w:firstLine="0"/>
        <w:jc w:val="both"/>
        <w:rPr>
          <w:sz w:val="24"/>
        </w:rPr>
      </w:pPr>
      <w:r>
        <w:rPr>
          <w:sz w:val="24"/>
        </w:rPr>
        <w:t>El ámbito de las territorialidades quechuas, el nacional del Estado Plurinacional e internacional, porque expresa en sus programas curriculares, intereses culturales e ideológicos, sociopolíticos y socioeconómicos de la comunidad, lucha contra la exclusión social y racial, por un presente y futuro para el Sumaj Kawsay, Vivir Bien con nuestra</w:t>
      </w:r>
      <w:r>
        <w:rPr>
          <w:spacing w:val="-3"/>
          <w:sz w:val="24"/>
        </w:rPr>
        <w:t> </w:t>
      </w:r>
      <w:r>
        <w:rPr>
          <w:sz w:val="24"/>
        </w:rPr>
        <w:t>Pacha.</w:t>
      </w:r>
    </w:p>
    <w:p>
      <w:pPr>
        <w:pStyle w:val="BodyText"/>
      </w:pPr>
    </w:p>
    <w:p>
      <w:pPr>
        <w:pStyle w:val="ListParagraph"/>
        <w:numPr>
          <w:ilvl w:val="0"/>
          <w:numId w:val="8"/>
        </w:numPr>
        <w:tabs>
          <w:tab w:pos="1365" w:val="left" w:leader="none"/>
        </w:tabs>
        <w:spacing w:line="240" w:lineRule="auto" w:before="1" w:after="0"/>
        <w:ind w:left="1082" w:right="852" w:firstLine="0"/>
        <w:jc w:val="both"/>
        <w:rPr>
          <w:sz w:val="24"/>
        </w:rPr>
      </w:pPr>
      <w:r>
        <w:rPr>
          <w:sz w:val="24"/>
        </w:rPr>
        <w:t>Lograr una profundización de la intra e interculturalidad, promoviendo la unidad y hermandad en la diversidad cultural geográfica, potenciando una comunicación permanente con otras</w:t>
      </w:r>
      <w:r>
        <w:rPr>
          <w:spacing w:val="-4"/>
          <w:sz w:val="24"/>
        </w:rPr>
        <w:t> </w:t>
      </w:r>
      <w:r>
        <w:rPr>
          <w:sz w:val="24"/>
        </w:rPr>
        <w:t>culturas.</w:t>
      </w:r>
    </w:p>
    <w:p>
      <w:pPr>
        <w:pStyle w:val="BodyText"/>
        <w:spacing w:before="11"/>
        <w:rPr>
          <w:sz w:val="23"/>
        </w:rPr>
      </w:pPr>
    </w:p>
    <w:p>
      <w:pPr>
        <w:pStyle w:val="ListParagraph"/>
        <w:numPr>
          <w:ilvl w:val="0"/>
          <w:numId w:val="8"/>
        </w:numPr>
        <w:tabs>
          <w:tab w:pos="1437" w:val="left" w:leader="none"/>
        </w:tabs>
        <w:spacing w:line="240" w:lineRule="auto" w:before="0" w:after="0"/>
        <w:ind w:left="1082" w:right="852" w:firstLine="0"/>
        <w:jc w:val="both"/>
        <w:rPr>
          <w:sz w:val="24"/>
        </w:rPr>
      </w:pPr>
      <w:r>
        <w:rPr>
          <w:sz w:val="24"/>
        </w:rPr>
        <w:t>El carácter de democracia comunitaria, de unidad, hermandad, y sus decisiones son de consenso sin discriminación social, racial, de género, posición económica, filosófica y</w:t>
      </w:r>
      <w:r>
        <w:rPr>
          <w:spacing w:val="-4"/>
          <w:sz w:val="24"/>
        </w:rPr>
        <w:t> </w:t>
      </w:r>
      <w:r>
        <w:rPr>
          <w:sz w:val="24"/>
        </w:rPr>
        <w:t>otras.</w:t>
      </w:r>
    </w:p>
    <w:p>
      <w:pPr>
        <w:pStyle w:val="BodyText"/>
        <w:spacing w:before="1"/>
      </w:pPr>
    </w:p>
    <w:p>
      <w:pPr>
        <w:pStyle w:val="ListParagraph"/>
        <w:numPr>
          <w:ilvl w:val="0"/>
          <w:numId w:val="8"/>
        </w:numPr>
        <w:tabs>
          <w:tab w:pos="1627" w:val="left" w:leader="none"/>
        </w:tabs>
        <w:spacing w:line="240" w:lineRule="auto" w:before="0" w:after="0"/>
        <w:ind w:left="1082" w:right="851" w:firstLine="0"/>
        <w:jc w:val="both"/>
        <w:rPr>
          <w:sz w:val="24"/>
        </w:rPr>
      </w:pPr>
      <w:r>
        <w:rPr>
          <w:sz w:val="24"/>
        </w:rPr>
        <w:t>El reconocimiento de la expresión cultural-ideológica, sociopolítica y socioeconómica, de los miembros de la comunidad universitaria, siempre que no dañe a los principios de la UNIBOL en el marco de los derechos de las Naciones y Pueblos Indígena Originario Campesinos, y del Pueblo Afroboliviano expresado en el Artículo 30 y 32 de la Constitución Política del Estado</w:t>
      </w:r>
      <w:r>
        <w:rPr>
          <w:spacing w:val="-13"/>
          <w:sz w:val="24"/>
        </w:rPr>
        <w:t> </w:t>
      </w:r>
      <w:r>
        <w:rPr>
          <w:sz w:val="24"/>
        </w:rPr>
        <w:t>Plurinacional.</w:t>
      </w:r>
    </w:p>
    <w:p>
      <w:pPr>
        <w:pStyle w:val="BodyText"/>
      </w:pPr>
    </w:p>
    <w:p>
      <w:pPr>
        <w:pStyle w:val="ListParagraph"/>
        <w:numPr>
          <w:ilvl w:val="0"/>
          <w:numId w:val="8"/>
        </w:numPr>
        <w:tabs>
          <w:tab w:pos="1394" w:val="left" w:leader="none"/>
        </w:tabs>
        <w:spacing w:line="240" w:lineRule="auto" w:before="0" w:after="0"/>
        <w:ind w:left="1082" w:right="851" w:firstLine="0"/>
        <w:jc w:val="both"/>
        <w:rPr>
          <w:sz w:val="24"/>
        </w:rPr>
      </w:pPr>
      <w:r>
        <w:rPr>
          <w:sz w:val="24"/>
        </w:rPr>
        <w:t>La Universidad Quechua brinda apoyo real y efectivo a las aspiraciones sociales en general y de la comunidad quechua en particular, para transformar las condiciones de vida de las comunidades de la Nación</w:t>
      </w:r>
      <w:r>
        <w:rPr>
          <w:spacing w:val="-4"/>
          <w:sz w:val="24"/>
        </w:rPr>
        <w:t> </w:t>
      </w:r>
      <w:r>
        <w:rPr>
          <w:sz w:val="24"/>
        </w:rPr>
        <w:t>Quechua.</w:t>
      </w:r>
    </w:p>
    <w:p>
      <w:pPr>
        <w:pStyle w:val="BodyText"/>
      </w:pPr>
    </w:p>
    <w:p>
      <w:pPr>
        <w:pStyle w:val="ListParagraph"/>
        <w:numPr>
          <w:ilvl w:val="0"/>
          <w:numId w:val="8"/>
        </w:numPr>
        <w:tabs>
          <w:tab w:pos="1456" w:val="left" w:leader="none"/>
        </w:tabs>
        <w:spacing w:line="240" w:lineRule="auto" w:before="0" w:after="0"/>
        <w:ind w:left="1082" w:right="854" w:firstLine="0"/>
        <w:jc w:val="both"/>
        <w:rPr>
          <w:sz w:val="24"/>
        </w:rPr>
      </w:pPr>
      <w:r>
        <w:rPr>
          <w:sz w:val="24"/>
        </w:rPr>
        <w:t>La Universidad Desarrolla sus actividades académicas, científicas tecnológicas y productivas en armonía, respeto y preservando la Madre Naturaleza o</w:t>
      </w:r>
      <w:r>
        <w:rPr>
          <w:spacing w:val="-18"/>
          <w:sz w:val="24"/>
        </w:rPr>
        <w:t> </w:t>
      </w:r>
      <w:r>
        <w:rPr>
          <w:sz w:val="24"/>
        </w:rPr>
        <w:t>Pachamama.</w:t>
      </w:r>
    </w:p>
    <w:p>
      <w:pPr>
        <w:pStyle w:val="BodyText"/>
      </w:pPr>
    </w:p>
    <w:p>
      <w:pPr>
        <w:pStyle w:val="ListParagraph"/>
        <w:numPr>
          <w:ilvl w:val="0"/>
          <w:numId w:val="8"/>
        </w:numPr>
        <w:tabs>
          <w:tab w:pos="1582" w:val="left" w:leader="none"/>
        </w:tabs>
        <w:spacing w:line="240" w:lineRule="auto" w:before="1" w:after="0"/>
        <w:ind w:left="1082" w:right="846" w:firstLine="0"/>
        <w:jc w:val="both"/>
        <w:rPr>
          <w:sz w:val="24"/>
        </w:rPr>
      </w:pPr>
      <w:r>
        <w:rPr>
          <w:sz w:val="24"/>
        </w:rPr>
        <w:t>Produce saberes, conocimientos científicos y tecnológicos quechuas en los diferentes niveles de los sistemas de producción y economía comunitaria de las diversas territorialidades de la Nación</w:t>
      </w:r>
      <w:r>
        <w:rPr>
          <w:spacing w:val="-4"/>
          <w:sz w:val="24"/>
        </w:rPr>
        <w:t> </w:t>
      </w:r>
      <w:r>
        <w:rPr>
          <w:sz w:val="24"/>
        </w:rPr>
        <w:t>Quechua</w:t>
      </w:r>
    </w:p>
    <w:p>
      <w:pPr>
        <w:pStyle w:val="BodyText"/>
        <w:rPr>
          <w:sz w:val="26"/>
        </w:rPr>
      </w:pPr>
    </w:p>
    <w:p>
      <w:pPr>
        <w:pStyle w:val="ListParagraph"/>
        <w:numPr>
          <w:ilvl w:val="0"/>
          <w:numId w:val="8"/>
        </w:numPr>
        <w:tabs>
          <w:tab w:pos="1625" w:val="left" w:leader="none"/>
        </w:tabs>
        <w:spacing w:line="276" w:lineRule="auto" w:before="221" w:after="0"/>
        <w:ind w:left="1082" w:right="846" w:firstLine="0"/>
        <w:jc w:val="both"/>
        <w:rPr>
          <w:sz w:val="24"/>
        </w:rPr>
      </w:pPr>
      <w:r>
        <w:rPr>
          <w:sz w:val="24"/>
        </w:rPr>
        <w:t>Desarrolla iniciativas de Planes, programas y proyectos de emprendimientos productivos económicos comunitarios conjuntamente con las organizaciones quechuas, en los diversos niveles: AIOCs, municipal, regional, departamental y nacional.</w:t>
      </w:r>
    </w:p>
    <w:p>
      <w:pPr>
        <w:pStyle w:val="ListParagraph"/>
        <w:numPr>
          <w:ilvl w:val="0"/>
          <w:numId w:val="8"/>
        </w:numPr>
        <w:tabs>
          <w:tab w:pos="1466" w:val="left" w:leader="none"/>
        </w:tabs>
        <w:spacing w:line="276" w:lineRule="auto" w:before="200" w:after="0"/>
        <w:ind w:left="1082" w:right="855" w:firstLine="0"/>
        <w:jc w:val="both"/>
        <w:rPr>
          <w:sz w:val="24"/>
        </w:rPr>
      </w:pPr>
      <w:r>
        <w:rPr>
          <w:sz w:val="24"/>
        </w:rPr>
        <w:t>Promueve la generación de complejos productivos comunitarios como forma de fortalecimiento de los sistemas productivos</w:t>
      </w:r>
      <w:r>
        <w:rPr>
          <w:spacing w:val="-5"/>
          <w:sz w:val="24"/>
        </w:rPr>
        <w:t> </w:t>
      </w:r>
      <w:r>
        <w:rPr>
          <w:sz w:val="24"/>
        </w:rPr>
        <w:t>comunitarios.</w:t>
      </w:r>
    </w:p>
    <w:p>
      <w:pPr>
        <w:pStyle w:val="ListParagraph"/>
        <w:numPr>
          <w:ilvl w:val="0"/>
          <w:numId w:val="8"/>
        </w:numPr>
        <w:tabs>
          <w:tab w:pos="1493" w:val="left" w:leader="none"/>
        </w:tabs>
        <w:spacing w:line="276" w:lineRule="auto" w:before="201" w:after="0"/>
        <w:ind w:left="1082" w:right="852" w:firstLine="0"/>
        <w:jc w:val="both"/>
        <w:rPr>
          <w:sz w:val="24"/>
        </w:rPr>
      </w:pPr>
      <w:r>
        <w:rPr>
          <w:sz w:val="24"/>
        </w:rPr>
        <w:t>Promueven las investigaciones comunitarias aplicadas y el desarrollo de tecnologías propias para la industrialización y comercialización de los productos agrícolas, pecuarios, forestales y otros para la generación de trabajo y empleo en las comunidades y las regiones</w:t>
      </w:r>
      <w:r>
        <w:rPr>
          <w:spacing w:val="-3"/>
          <w:sz w:val="24"/>
        </w:rPr>
        <w:t> </w:t>
      </w:r>
      <w:r>
        <w:rPr>
          <w:sz w:val="24"/>
        </w:rPr>
        <w:t>quechuas.</w:t>
      </w:r>
    </w:p>
    <w:p>
      <w:pPr>
        <w:pStyle w:val="ListParagraph"/>
        <w:numPr>
          <w:ilvl w:val="0"/>
          <w:numId w:val="8"/>
        </w:numPr>
        <w:tabs>
          <w:tab w:pos="1495" w:val="left" w:leader="none"/>
        </w:tabs>
        <w:spacing w:line="276" w:lineRule="auto" w:before="199" w:after="0"/>
        <w:ind w:left="1082" w:right="847" w:firstLine="0"/>
        <w:jc w:val="both"/>
        <w:rPr>
          <w:sz w:val="24"/>
        </w:rPr>
      </w:pPr>
      <w:r>
        <w:rPr>
          <w:sz w:val="24"/>
        </w:rPr>
        <w:t>Desarrolla la gestión territorial productiva, la administración comunitaria de la producción y su comercialización, local, regional, nacional e</w:t>
      </w:r>
      <w:r>
        <w:rPr>
          <w:spacing w:val="-5"/>
          <w:sz w:val="24"/>
        </w:rPr>
        <w:t> </w:t>
      </w:r>
      <w:r>
        <w:rPr>
          <w:sz w:val="24"/>
        </w:rPr>
        <w:t>internacional.</w:t>
      </w:r>
    </w:p>
    <w:p>
      <w:pPr>
        <w:spacing w:after="0" w:line="276" w:lineRule="auto"/>
        <w:jc w:val="both"/>
        <w:rPr>
          <w:sz w:val="24"/>
        </w:rPr>
        <w:sectPr>
          <w:pgSz w:w="11910" w:h="16840"/>
          <w:pgMar w:header="0" w:footer="922" w:top="1580" w:bottom="1200" w:left="620" w:right="280"/>
        </w:sectPr>
      </w:pPr>
    </w:p>
    <w:p>
      <w:pPr>
        <w:pStyle w:val="Heading3"/>
        <w:spacing w:before="73"/>
      </w:pPr>
      <w:r>
        <w:rPr/>
        <w:t>Fundamentos Filosóficos</w:t>
      </w:r>
    </w:p>
    <w:p>
      <w:pPr>
        <w:pStyle w:val="BodyText"/>
        <w:rPr>
          <w:b/>
        </w:rPr>
      </w:pPr>
    </w:p>
    <w:p>
      <w:pPr>
        <w:pStyle w:val="BodyText"/>
        <w:ind w:left="1082"/>
      </w:pPr>
      <w:r>
        <w:rPr/>
        <w:t>Los fundamentos Filosófico – Políticos de la UNIBOL son:</w:t>
      </w:r>
    </w:p>
    <w:p>
      <w:pPr>
        <w:pStyle w:val="BodyText"/>
        <w:spacing w:before="3"/>
        <w:rPr>
          <w:sz w:val="25"/>
        </w:rPr>
      </w:pPr>
    </w:p>
    <w:p>
      <w:pPr>
        <w:pStyle w:val="ListParagraph"/>
        <w:numPr>
          <w:ilvl w:val="0"/>
          <w:numId w:val="9"/>
        </w:numPr>
        <w:tabs>
          <w:tab w:pos="1363" w:val="left" w:leader="none"/>
        </w:tabs>
        <w:spacing w:line="240" w:lineRule="auto" w:before="0" w:after="0"/>
        <w:ind w:left="1362" w:right="0" w:hanging="281"/>
        <w:jc w:val="left"/>
        <w:rPr>
          <w:sz w:val="24"/>
        </w:rPr>
      </w:pPr>
      <w:r>
        <w:rPr>
          <w:sz w:val="24"/>
        </w:rPr>
        <w:t>Descolonización, Intraculturalidad e</w:t>
      </w:r>
      <w:r>
        <w:rPr>
          <w:spacing w:val="-4"/>
          <w:sz w:val="24"/>
        </w:rPr>
        <w:t> </w:t>
      </w:r>
      <w:r>
        <w:rPr>
          <w:sz w:val="24"/>
        </w:rPr>
        <w:t>Interculturalidad;</w:t>
      </w:r>
    </w:p>
    <w:p>
      <w:pPr>
        <w:pStyle w:val="ListParagraph"/>
        <w:numPr>
          <w:ilvl w:val="0"/>
          <w:numId w:val="9"/>
        </w:numPr>
        <w:tabs>
          <w:tab w:pos="1363" w:val="left" w:leader="none"/>
        </w:tabs>
        <w:spacing w:line="240" w:lineRule="auto" w:before="15" w:after="0"/>
        <w:ind w:left="1362" w:right="0" w:hanging="281"/>
        <w:jc w:val="left"/>
        <w:rPr>
          <w:sz w:val="24"/>
        </w:rPr>
      </w:pPr>
      <w:r>
        <w:rPr>
          <w:sz w:val="24"/>
        </w:rPr>
        <w:t>Educación Productiva, Comunitaria y</w:t>
      </w:r>
      <w:r>
        <w:rPr>
          <w:spacing w:val="-4"/>
          <w:sz w:val="24"/>
        </w:rPr>
        <w:t> </w:t>
      </w:r>
      <w:r>
        <w:rPr>
          <w:sz w:val="24"/>
        </w:rPr>
        <w:t>Familiar;</w:t>
      </w:r>
    </w:p>
    <w:p>
      <w:pPr>
        <w:pStyle w:val="ListParagraph"/>
        <w:numPr>
          <w:ilvl w:val="0"/>
          <w:numId w:val="9"/>
        </w:numPr>
        <w:tabs>
          <w:tab w:pos="1349" w:val="left" w:leader="none"/>
        </w:tabs>
        <w:spacing w:line="240" w:lineRule="auto" w:before="14" w:after="0"/>
        <w:ind w:left="1348" w:right="0" w:hanging="267"/>
        <w:jc w:val="left"/>
        <w:rPr>
          <w:sz w:val="24"/>
        </w:rPr>
      </w:pPr>
      <w:r>
        <w:rPr>
          <w:sz w:val="24"/>
        </w:rPr>
        <w:t>Democracia</w:t>
      </w:r>
      <w:r>
        <w:rPr>
          <w:spacing w:val="-3"/>
          <w:sz w:val="24"/>
        </w:rPr>
        <w:t> </w:t>
      </w:r>
      <w:r>
        <w:rPr>
          <w:sz w:val="24"/>
        </w:rPr>
        <w:t>Comunitaria;</w:t>
      </w:r>
    </w:p>
    <w:p>
      <w:pPr>
        <w:pStyle w:val="ListParagraph"/>
        <w:numPr>
          <w:ilvl w:val="0"/>
          <w:numId w:val="9"/>
        </w:numPr>
        <w:tabs>
          <w:tab w:pos="1363" w:val="left" w:leader="none"/>
        </w:tabs>
        <w:spacing w:line="240" w:lineRule="auto" w:before="15" w:after="0"/>
        <w:ind w:left="1362" w:right="0" w:hanging="281"/>
        <w:jc w:val="left"/>
        <w:rPr>
          <w:sz w:val="24"/>
        </w:rPr>
      </w:pPr>
      <w:r>
        <w:rPr>
          <w:sz w:val="24"/>
        </w:rPr>
        <w:t>Modelo Productivo</w:t>
      </w:r>
      <w:r>
        <w:rPr>
          <w:spacing w:val="-3"/>
          <w:sz w:val="24"/>
        </w:rPr>
        <w:t> </w:t>
      </w:r>
      <w:r>
        <w:rPr>
          <w:sz w:val="24"/>
        </w:rPr>
        <w:t>Comunitario;</w:t>
      </w:r>
    </w:p>
    <w:p>
      <w:pPr>
        <w:pStyle w:val="BodyText"/>
        <w:spacing w:before="11"/>
        <w:rPr>
          <w:sz w:val="23"/>
        </w:rPr>
      </w:pPr>
    </w:p>
    <w:p>
      <w:pPr>
        <w:pStyle w:val="BodyText"/>
        <w:ind w:left="1082"/>
      </w:pPr>
      <w:r>
        <w:rPr/>
        <w:t>II. Las bases educativas de la UNIBOL son:</w:t>
      </w:r>
    </w:p>
    <w:p>
      <w:pPr>
        <w:pStyle w:val="ListParagraph"/>
        <w:numPr>
          <w:ilvl w:val="0"/>
          <w:numId w:val="10"/>
        </w:numPr>
        <w:tabs>
          <w:tab w:pos="1363" w:val="left" w:leader="none"/>
        </w:tabs>
        <w:spacing w:line="240" w:lineRule="auto" w:before="0" w:after="0"/>
        <w:ind w:left="1362" w:right="0" w:hanging="281"/>
        <w:jc w:val="left"/>
        <w:rPr>
          <w:sz w:val="24"/>
        </w:rPr>
      </w:pPr>
      <w:r>
        <w:rPr>
          <w:sz w:val="24"/>
        </w:rPr>
        <w:t>Fortalecimiento y desarrollo de la cultura</w:t>
      </w:r>
      <w:r>
        <w:rPr>
          <w:spacing w:val="-5"/>
          <w:sz w:val="24"/>
        </w:rPr>
        <w:t> </w:t>
      </w:r>
      <w:r>
        <w:rPr>
          <w:sz w:val="24"/>
        </w:rPr>
        <w:t>Indígena;</w:t>
      </w:r>
    </w:p>
    <w:p>
      <w:pPr>
        <w:pStyle w:val="ListParagraph"/>
        <w:numPr>
          <w:ilvl w:val="0"/>
          <w:numId w:val="10"/>
        </w:numPr>
        <w:tabs>
          <w:tab w:pos="1363" w:val="left" w:leader="none"/>
        </w:tabs>
        <w:spacing w:line="240" w:lineRule="auto" w:before="13" w:after="0"/>
        <w:ind w:left="1362" w:right="0" w:hanging="281"/>
        <w:jc w:val="left"/>
        <w:rPr>
          <w:sz w:val="24"/>
        </w:rPr>
      </w:pPr>
      <w:r>
        <w:rPr>
          <w:sz w:val="24"/>
        </w:rPr>
        <w:t>Desarrollo y revitalización de la lengua</w:t>
      </w:r>
      <w:r>
        <w:rPr>
          <w:spacing w:val="-7"/>
          <w:sz w:val="24"/>
        </w:rPr>
        <w:t> </w:t>
      </w:r>
      <w:r>
        <w:rPr>
          <w:sz w:val="24"/>
        </w:rPr>
        <w:t>Indígena;</w:t>
      </w:r>
    </w:p>
    <w:p>
      <w:pPr>
        <w:pStyle w:val="ListParagraph"/>
        <w:numPr>
          <w:ilvl w:val="0"/>
          <w:numId w:val="10"/>
        </w:numPr>
        <w:tabs>
          <w:tab w:pos="1349" w:val="left" w:leader="none"/>
        </w:tabs>
        <w:spacing w:line="240" w:lineRule="auto" w:before="14" w:after="0"/>
        <w:ind w:left="1348" w:right="0" w:hanging="267"/>
        <w:jc w:val="left"/>
        <w:rPr>
          <w:sz w:val="24"/>
        </w:rPr>
      </w:pPr>
      <w:r>
        <w:rPr>
          <w:sz w:val="24"/>
        </w:rPr>
        <w:t>Vinculación con el</w:t>
      </w:r>
      <w:r>
        <w:rPr>
          <w:spacing w:val="-7"/>
          <w:sz w:val="24"/>
        </w:rPr>
        <w:t> </w:t>
      </w:r>
      <w:r>
        <w:rPr>
          <w:sz w:val="24"/>
        </w:rPr>
        <w:t>mundo;</w:t>
      </w:r>
    </w:p>
    <w:p>
      <w:pPr>
        <w:pStyle w:val="ListParagraph"/>
        <w:numPr>
          <w:ilvl w:val="0"/>
          <w:numId w:val="10"/>
        </w:numPr>
        <w:tabs>
          <w:tab w:pos="1363" w:val="left" w:leader="none"/>
        </w:tabs>
        <w:spacing w:line="240" w:lineRule="auto" w:before="15" w:after="0"/>
        <w:ind w:left="1362" w:right="0" w:hanging="281"/>
        <w:jc w:val="left"/>
        <w:rPr>
          <w:sz w:val="24"/>
        </w:rPr>
      </w:pPr>
      <w:r>
        <w:rPr>
          <w:sz w:val="24"/>
        </w:rPr>
        <w:t>Conocimiento</w:t>
      </w:r>
      <w:r>
        <w:rPr>
          <w:spacing w:val="-1"/>
          <w:sz w:val="24"/>
        </w:rPr>
        <w:t> </w:t>
      </w:r>
      <w:r>
        <w:rPr>
          <w:sz w:val="24"/>
        </w:rPr>
        <w:t>pertinente;</w:t>
      </w:r>
    </w:p>
    <w:p>
      <w:pPr>
        <w:pStyle w:val="ListParagraph"/>
        <w:numPr>
          <w:ilvl w:val="0"/>
          <w:numId w:val="10"/>
        </w:numPr>
        <w:tabs>
          <w:tab w:pos="1363" w:val="left" w:leader="none"/>
        </w:tabs>
        <w:spacing w:line="240" w:lineRule="auto" w:before="14" w:after="0"/>
        <w:ind w:left="1362" w:right="0" w:hanging="281"/>
        <w:jc w:val="left"/>
        <w:rPr>
          <w:sz w:val="24"/>
        </w:rPr>
      </w:pPr>
      <w:r>
        <w:rPr>
          <w:sz w:val="24"/>
        </w:rPr>
        <w:t>Formación en y para la</w:t>
      </w:r>
      <w:r>
        <w:rPr>
          <w:spacing w:val="-3"/>
          <w:sz w:val="24"/>
        </w:rPr>
        <w:t> </w:t>
      </w:r>
      <w:r>
        <w:rPr>
          <w:sz w:val="24"/>
        </w:rPr>
        <w:t>producción;</w:t>
      </w:r>
    </w:p>
    <w:p>
      <w:pPr>
        <w:pStyle w:val="ListParagraph"/>
        <w:numPr>
          <w:ilvl w:val="0"/>
          <w:numId w:val="10"/>
        </w:numPr>
        <w:tabs>
          <w:tab w:pos="1299" w:val="left" w:leader="none"/>
        </w:tabs>
        <w:spacing w:line="240" w:lineRule="auto" w:before="15" w:after="0"/>
        <w:ind w:left="1298" w:right="0" w:hanging="217"/>
        <w:jc w:val="left"/>
        <w:rPr>
          <w:sz w:val="24"/>
        </w:rPr>
      </w:pPr>
      <w:r>
        <w:rPr>
          <w:sz w:val="24"/>
        </w:rPr>
        <w:t>Respeto a la diversidad;</w:t>
      </w:r>
    </w:p>
    <w:p>
      <w:pPr>
        <w:pStyle w:val="ListParagraph"/>
        <w:numPr>
          <w:ilvl w:val="0"/>
          <w:numId w:val="10"/>
        </w:numPr>
        <w:tabs>
          <w:tab w:pos="1361" w:val="left" w:leader="none"/>
        </w:tabs>
        <w:spacing w:line="240" w:lineRule="auto" w:before="14" w:after="0"/>
        <w:ind w:left="1360" w:right="0" w:hanging="279"/>
        <w:jc w:val="left"/>
        <w:rPr>
          <w:sz w:val="24"/>
        </w:rPr>
      </w:pPr>
      <w:r>
        <w:rPr>
          <w:sz w:val="24"/>
        </w:rPr>
        <w:t>Enseñanza de la condición</w:t>
      </w:r>
      <w:r>
        <w:rPr>
          <w:spacing w:val="-3"/>
          <w:sz w:val="24"/>
        </w:rPr>
        <w:t> </w:t>
      </w:r>
      <w:r>
        <w:rPr>
          <w:sz w:val="24"/>
        </w:rPr>
        <w:t>humana;</w:t>
      </w:r>
    </w:p>
    <w:p>
      <w:pPr>
        <w:pStyle w:val="ListParagraph"/>
        <w:numPr>
          <w:ilvl w:val="0"/>
          <w:numId w:val="10"/>
        </w:numPr>
        <w:tabs>
          <w:tab w:pos="1363" w:val="left" w:leader="none"/>
        </w:tabs>
        <w:spacing w:line="240" w:lineRule="auto" w:before="12" w:after="0"/>
        <w:ind w:left="1362" w:right="0" w:hanging="281"/>
        <w:jc w:val="left"/>
        <w:rPr>
          <w:sz w:val="24"/>
        </w:rPr>
      </w:pPr>
      <w:r>
        <w:rPr>
          <w:sz w:val="24"/>
        </w:rPr>
        <w:t>Recuperación, desarrollo y Transferencia de los saberes y</w:t>
      </w:r>
      <w:r>
        <w:rPr>
          <w:spacing w:val="-11"/>
          <w:sz w:val="24"/>
        </w:rPr>
        <w:t> </w:t>
      </w:r>
      <w:r>
        <w:rPr>
          <w:sz w:val="24"/>
        </w:rPr>
        <w:t>conocimientos</w:t>
      </w:r>
    </w:p>
    <w:p>
      <w:pPr>
        <w:pStyle w:val="ListParagraph"/>
        <w:numPr>
          <w:ilvl w:val="0"/>
          <w:numId w:val="10"/>
        </w:numPr>
        <w:tabs>
          <w:tab w:pos="1281" w:val="left" w:leader="none"/>
        </w:tabs>
        <w:spacing w:line="240" w:lineRule="auto" w:before="14" w:after="0"/>
        <w:ind w:left="1280" w:right="0" w:hanging="199"/>
        <w:jc w:val="left"/>
        <w:rPr>
          <w:sz w:val="24"/>
        </w:rPr>
      </w:pPr>
      <w:r>
        <w:rPr>
          <w:sz w:val="24"/>
        </w:rPr>
        <w:t>Educación libre y</w:t>
      </w:r>
      <w:r>
        <w:rPr>
          <w:spacing w:val="-3"/>
          <w:sz w:val="24"/>
        </w:rPr>
        <w:t> </w:t>
      </w:r>
      <w:r>
        <w:rPr>
          <w:sz w:val="24"/>
        </w:rPr>
        <w:t>liberadora;</w:t>
      </w:r>
    </w:p>
    <w:p>
      <w:pPr>
        <w:pStyle w:val="ListParagraph"/>
        <w:numPr>
          <w:ilvl w:val="0"/>
          <w:numId w:val="10"/>
        </w:numPr>
        <w:tabs>
          <w:tab w:pos="1281" w:val="left" w:leader="none"/>
        </w:tabs>
        <w:spacing w:line="240" w:lineRule="auto" w:before="15" w:after="0"/>
        <w:ind w:left="1280" w:right="0" w:hanging="199"/>
        <w:jc w:val="left"/>
        <w:rPr>
          <w:sz w:val="24"/>
        </w:rPr>
      </w:pPr>
      <w:r>
        <w:rPr>
          <w:sz w:val="24"/>
        </w:rPr>
        <w:t>Transparencia;</w:t>
      </w:r>
    </w:p>
    <w:p>
      <w:pPr>
        <w:pStyle w:val="ListParagraph"/>
        <w:numPr>
          <w:ilvl w:val="0"/>
          <w:numId w:val="10"/>
        </w:numPr>
        <w:tabs>
          <w:tab w:pos="1349" w:val="left" w:leader="none"/>
        </w:tabs>
        <w:spacing w:line="240" w:lineRule="auto" w:before="14" w:after="0"/>
        <w:ind w:left="1348" w:right="0" w:hanging="267"/>
        <w:jc w:val="left"/>
        <w:rPr>
          <w:sz w:val="24"/>
        </w:rPr>
      </w:pPr>
      <w:r>
        <w:rPr>
          <w:sz w:val="24"/>
        </w:rPr>
        <w:t>Excelencia</w:t>
      </w:r>
      <w:r>
        <w:rPr>
          <w:spacing w:val="-1"/>
          <w:sz w:val="24"/>
        </w:rPr>
        <w:t> </w:t>
      </w:r>
      <w:r>
        <w:rPr>
          <w:sz w:val="24"/>
        </w:rPr>
        <w:t>académica;</w:t>
      </w:r>
    </w:p>
    <w:p>
      <w:pPr>
        <w:pStyle w:val="ListParagraph"/>
        <w:numPr>
          <w:ilvl w:val="0"/>
          <w:numId w:val="10"/>
        </w:numPr>
        <w:tabs>
          <w:tab w:pos="1281" w:val="left" w:leader="none"/>
        </w:tabs>
        <w:spacing w:line="240" w:lineRule="auto" w:before="15" w:after="0"/>
        <w:ind w:left="1280" w:right="0" w:hanging="199"/>
        <w:jc w:val="left"/>
        <w:rPr>
          <w:sz w:val="24"/>
        </w:rPr>
      </w:pPr>
      <w:r>
        <w:rPr>
          <w:sz w:val="24"/>
        </w:rPr>
        <w:t>Mejoramiento</w:t>
      </w:r>
      <w:r>
        <w:rPr>
          <w:spacing w:val="-1"/>
          <w:sz w:val="24"/>
        </w:rPr>
        <w:t> </w:t>
      </w:r>
      <w:r>
        <w:rPr>
          <w:sz w:val="24"/>
        </w:rPr>
        <w:t>continuo;</w:t>
      </w:r>
    </w:p>
    <w:p>
      <w:pPr>
        <w:pStyle w:val="BodyText"/>
        <w:rPr>
          <w:sz w:val="26"/>
        </w:rPr>
      </w:pPr>
    </w:p>
    <w:p>
      <w:pPr>
        <w:pStyle w:val="Heading3"/>
        <w:numPr>
          <w:ilvl w:val="0"/>
          <w:numId w:val="11"/>
        </w:numPr>
        <w:tabs>
          <w:tab w:pos="1442" w:val="left" w:leader="none"/>
        </w:tabs>
        <w:spacing w:line="240" w:lineRule="auto" w:before="220" w:after="0"/>
        <w:ind w:left="1442" w:right="0" w:hanging="360"/>
        <w:jc w:val="left"/>
      </w:pPr>
      <w:r>
        <w:rPr/>
        <w:t>ANÁLISIS DEL ENTORNO EXTERNO E</w:t>
      </w:r>
      <w:r>
        <w:rPr>
          <w:spacing w:val="3"/>
        </w:rPr>
        <w:t> </w:t>
      </w:r>
      <w:r>
        <w:rPr/>
        <w:t>INTERNO</w:t>
      </w:r>
    </w:p>
    <w:p>
      <w:pPr>
        <w:pStyle w:val="BodyText"/>
        <w:spacing w:line="276" w:lineRule="auto" w:before="100"/>
        <w:ind w:left="1082" w:right="849"/>
        <w:jc w:val="both"/>
      </w:pPr>
      <w:r>
        <w:rPr/>
        <w:t>Toda proyección requiere partir de un análisis del estado de situación, por esta razón el PEI – UNIBOL QUECHUA, parte recogiendo las percepciones de la comunidad educativa de la UNIBOL, de los estudiantes, docentes, personal administrativo, autoridades, junta comunitaria en cuanto a la dinámica de la institución, asimismo de los sabios indígenas desde la experiencia del recorrido orgánico, político ideológico, cosmovisión, sociocultural y lingüístico. Este proceso se ha desarrollado de la manera participativa comunitaria en diversos eventos que nos han permitido analizar u profundizar el estado de situación de nuestra Universidad y plantear diversas propuestas para su fortalecimiento, el propósito del mismo es que toda la comunidad educativa esté involucrada en la tarea de hacer realidad un Plan Estratégico Institucional donde los resultados de éxitos o fracasos también sean compartidos, pero con la convicción de sacar adelante una UNIBOL QUECHUA fuerte, de beneficio de la Nación Quechua y del Estado Plurinacional.</w:t>
      </w:r>
    </w:p>
    <w:p>
      <w:pPr>
        <w:pStyle w:val="BodyText"/>
        <w:spacing w:line="276" w:lineRule="auto" w:before="200"/>
        <w:ind w:left="1082" w:right="852"/>
        <w:jc w:val="both"/>
      </w:pPr>
      <w:r>
        <w:rPr/>
        <w:t>Una primera parte de este análisis se ha desarrollado de manera interna y está centrada en la parte institucional también interna. La segunda parte se da énfasis desde la perspectiva de la Nación Quechua en el Estado Plurinacional, que viene a ser la razón de ser de la Unibol Quechua, y dado que se encuentra débil en la referencia de la mayoría de los académicos y alumnos que son parte de la comunidad educativa Unibol Quechua. En la segunda parte del análisis se combina con la metodología de la Chakana, que trabaja la integralidad de los aspectos referidos a la institucionalidad de la Unibol Quechua, pero poniendo como punto de</w:t>
      </w:r>
    </w:p>
    <w:p>
      <w:pPr>
        <w:spacing w:after="0" w:line="276" w:lineRule="auto"/>
        <w:jc w:val="both"/>
        <w:sectPr>
          <w:pgSz w:w="11910" w:h="16840"/>
          <w:pgMar w:header="0" w:footer="922" w:top="1320" w:bottom="1200" w:left="620" w:right="280"/>
        </w:sectPr>
      </w:pPr>
    </w:p>
    <w:p>
      <w:pPr>
        <w:pStyle w:val="BodyText"/>
        <w:spacing w:line="276" w:lineRule="auto" w:before="76"/>
        <w:ind w:left="1082" w:right="850"/>
        <w:jc w:val="both"/>
      </w:pPr>
      <w:r>
        <w:rPr/>
        <w:t>partida, a los intereses y necesidades de la Nación Quechua dentro del Estado Plurinacional. Todos estos análisis son complementando con el primer nivel de análisis.</w:t>
      </w:r>
    </w:p>
    <w:p>
      <w:pPr>
        <w:pStyle w:val="BodyText"/>
        <w:spacing w:line="278" w:lineRule="auto" w:before="200"/>
        <w:ind w:left="1082" w:right="849"/>
        <w:jc w:val="both"/>
      </w:pPr>
      <w:r>
        <w:rPr/>
        <w:t>Los niveles analizados son: Institucional, Nación Quechua, Estado Plurinacional y Macro regional.</w:t>
      </w:r>
    </w:p>
    <w:p>
      <w:pPr>
        <w:pStyle w:val="Heading2"/>
        <w:numPr>
          <w:ilvl w:val="1"/>
          <w:numId w:val="11"/>
        </w:numPr>
        <w:tabs>
          <w:tab w:pos="2085" w:val="left" w:leader="none"/>
          <w:tab w:pos="2086" w:val="left" w:leader="none"/>
        </w:tabs>
        <w:spacing w:line="240" w:lineRule="auto" w:before="233" w:after="0"/>
        <w:ind w:left="2085" w:right="0" w:hanging="721"/>
        <w:jc w:val="left"/>
      </w:pPr>
      <w:r>
        <w:rPr/>
        <w:t>A NIVEL</w:t>
      </w:r>
      <w:r>
        <w:rPr>
          <w:spacing w:val="-1"/>
        </w:rPr>
        <w:t> </w:t>
      </w:r>
      <w:r>
        <w:rPr/>
        <w:t>INSTITUCIONAL</w:t>
      </w:r>
    </w:p>
    <w:p>
      <w:pPr>
        <w:pStyle w:val="BodyText"/>
        <w:spacing w:before="10"/>
        <w:rPr>
          <w:rFonts w:ascii="Cambria"/>
          <w:b/>
          <w:sz w:val="40"/>
        </w:rPr>
      </w:pPr>
    </w:p>
    <w:p>
      <w:pPr>
        <w:pStyle w:val="Heading3"/>
        <w:spacing w:after="4"/>
        <w:jc w:val="both"/>
        <w:rPr>
          <w:rFonts w:ascii="Times New Roman" w:hAnsi="Times New Roman"/>
        </w:rPr>
      </w:pPr>
      <w:r>
        <w:rPr>
          <w:rFonts w:ascii="Times New Roman" w:hAnsi="Times New Roman"/>
        </w:rPr>
        <w:t>SUB NIVEL ACADÉMICO</w:t>
      </w:r>
    </w:p>
    <w:tbl>
      <w:tblPr>
        <w:tblW w:w="0" w:type="auto"/>
        <w:jc w:val="left"/>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5386"/>
      </w:tblGrid>
      <w:tr>
        <w:trPr>
          <w:trHeight w:val="338" w:hRule="atLeast"/>
        </w:trPr>
        <w:tc>
          <w:tcPr>
            <w:tcW w:w="4107" w:type="dxa"/>
            <w:shd w:val="clear" w:color="auto" w:fill="006FC0"/>
          </w:tcPr>
          <w:p>
            <w:pPr>
              <w:pStyle w:val="TableParagraph"/>
              <w:spacing w:line="318" w:lineRule="exact"/>
              <w:ind w:left="105"/>
              <w:rPr>
                <w:rFonts w:ascii="Arial Black"/>
                <w:sz w:val="24"/>
              </w:rPr>
            </w:pPr>
            <w:r>
              <w:rPr>
                <w:rFonts w:ascii="Arial Black"/>
                <w:color w:val="F1F1F1"/>
                <w:sz w:val="24"/>
              </w:rPr>
              <w:t>Fortalezas</w:t>
            </w:r>
          </w:p>
        </w:tc>
        <w:tc>
          <w:tcPr>
            <w:tcW w:w="5386" w:type="dxa"/>
            <w:shd w:val="clear" w:color="auto" w:fill="006FC0"/>
          </w:tcPr>
          <w:p>
            <w:pPr>
              <w:pStyle w:val="TableParagraph"/>
              <w:spacing w:line="318" w:lineRule="exact"/>
              <w:ind w:left="105"/>
              <w:rPr>
                <w:rFonts w:ascii="Arial Black"/>
                <w:sz w:val="24"/>
              </w:rPr>
            </w:pPr>
            <w:r>
              <w:rPr>
                <w:rFonts w:ascii="Arial Black"/>
                <w:color w:val="F1F1F1"/>
                <w:sz w:val="24"/>
              </w:rPr>
              <w:t>Oportunidades</w:t>
            </w:r>
          </w:p>
        </w:tc>
      </w:tr>
      <w:tr>
        <w:trPr>
          <w:trHeight w:val="7471" w:hRule="atLeast"/>
        </w:trPr>
        <w:tc>
          <w:tcPr>
            <w:tcW w:w="4107" w:type="dxa"/>
          </w:tcPr>
          <w:p>
            <w:pPr>
              <w:pStyle w:val="TableParagraph"/>
              <w:numPr>
                <w:ilvl w:val="0"/>
                <w:numId w:val="12"/>
              </w:numPr>
              <w:tabs>
                <w:tab w:pos="825" w:val="left" w:leader="none"/>
                <w:tab w:pos="826" w:val="left" w:leader="none"/>
              </w:tabs>
              <w:spacing w:line="240" w:lineRule="auto" w:before="0" w:after="0"/>
              <w:ind w:left="825" w:right="109" w:hanging="360"/>
              <w:jc w:val="left"/>
              <w:rPr>
                <w:sz w:val="18"/>
              </w:rPr>
            </w:pPr>
            <w:r>
              <w:rPr>
                <w:sz w:val="18"/>
              </w:rPr>
              <w:t>Se cuenta con recursos humanos comprometidos con el proceso de cambio, capacitados para gestionar convenios, alianzas y proyectos en coordinación con el estado</w:t>
            </w:r>
            <w:r>
              <w:rPr>
                <w:spacing w:val="-1"/>
                <w:sz w:val="18"/>
              </w:rPr>
              <w:t> </w:t>
            </w:r>
            <w:r>
              <w:rPr>
                <w:sz w:val="18"/>
              </w:rPr>
              <w:t>plurinacional.</w:t>
            </w:r>
          </w:p>
          <w:p>
            <w:pPr>
              <w:pStyle w:val="TableParagraph"/>
              <w:numPr>
                <w:ilvl w:val="0"/>
                <w:numId w:val="12"/>
              </w:numPr>
              <w:tabs>
                <w:tab w:pos="825" w:val="left" w:leader="none"/>
                <w:tab w:pos="826" w:val="left" w:leader="none"/>
              </w:tabs>
              <w:spacing w:line="240" w:lineRule="auto" w:before="0" w:after="0"/>
              <w:ind w:left="825" w:right="142" w:hanging="360"/>
              <w:jc w:val="left"/>
              <w:rPr>
                <w:sz w:val="18"/>
              </w:rPr>
            </w:pPr>
            <w:r>
              <w:rPr>
                <w:sz w:val="18"/>
              </w:rPr>
              <w:t>Las carreras tienen orientación</w:t>
            </w:r>
            <w:r>
              <w:rPr>
                <w:spacing w:val="-13"/>
                <w:sz w:val="18"/>
              </w:rPr>
              <w:t> </w:t>
            </w:r>
            <w:r>
              <w:rPr>
                <w:sz w:val="18"/>
              </w:rPr>
              <w:t>productiva, descolonizadora, comunitaria, intra e intercultural, plurilingüe, que buscan el Sumaq</w:t>
            </w:r>
            <w:r>
              <w:rPr>
                <w:spacing w:val="-2"/>
                <w:sz w:val="18"/>
              </w:rPr>
              <w:t> </w:t>
            </w:r>
            <w:r>
              <w:rPr>
                <w:sz w:val="18"/>
              </w:rPr>
              <w:t>Kawsay.</w:t>
            </w:r>
          </w:p>
          <w:p>
            <w:pPr>
              <w:pStyle w:val="TableParagraph"/>
              <w:numPr>
                <w:ilvl w:val="0"/>
                <w:numId w:val="12"/>
              </w:numPr>
              <w:tabs>
                <w:tab w:pos="825" w:val="left" w:leader="none"/>
                <w:tab w:pos="826" w:val="left" w:leader="none"/>
              </w:tabs>
              <w:spacing w:line="240" w:lineRule="auto" w:before="0" w:after="0"/>
              <w:ind w:left="825" w:right="392" w:hanging="360"/>
              <w:jc w:val="left"/>
              <w:rPr>
                <w:sz w:val="18"/>
              </w:rPr>
            </w:pPr>
            <w:r>
              <w:rPr>
                <w:sz w:val="18"/>
              </w:rPr>
              <w:t>Institución reconocida y apoyada por el Estado Plurinacional de Bolivia y organizaciones</w:t>
            </w:r>
            <w:r>
              <w:rPr>
                <w:spacing w:val="-2"/>
                <w:sz w:val="18"/>
              </w:rPr>
              <w:t> </w:t>
            </w:r>
            <w:r>
              <w:rPr>
                <w:sz w:val="18"/>
              </w:rPr>
              <w:t>sociales.</w:t>
            </w:r>
          </w:p>
          <w:p>
            <w:pPr>
              <w:pStyle w:val="TableParagraph"/>
              <w:numPr>
                <w:ilvl w:val="0"/>
                <w:numId w:val="12"/>
              </w:numPr>
              <w:tabs>
                <w:tab w:pos="825" w:val="left" w:leader="none"/>
                <w:tab w:pos="826" w:val="left" w:leader="none"/>
              </w:tabs>
              <w:spacing w:line="240" w:lineRule="auto" w:before="0" w:after="0"/>
              <w:ind w:left="825" w:right="305" w:hanging="360"/>
              <w:jc w:val="left"/>
              <w:rPr>
                <w:sz w:val="18"/>
              </w:rPr>
            </w:pPr>
            <w:r>
              <w:rPr>
                <w:sz w:val="18"/>
              </w:rPr>
              <w:t>La universidad tiene definida su visión y misión, de formar profesionales</w:t>
            </w:r>
            <w:r>
              <w:rPr>
                <w:spacing w:val="-17"/>
                <w:sz w:val="18"/>
              </w:rPr>
              <w:t> </w:t>
            </w:r>
            <w:r>
              <w:rPr>
                <w:sz w:val="18"/>
              </w:rPr>
              <w:t>íntegros para el servicio de su</w:t>
            </w:r>
            <w:r>
              <w:rPr>
                <w:spacing w:val="-6"/>
                <w:sz w:val="18"/>
              </w:rPr>
              <w:t> </w:t>
            </w:r>
            <w:r>
              <w:rPr>
                <w:sz w:val="18"/>
              </w:rPr>
              <w:t>comunidad.</w:t>
            </w:r>
          </w:p>
          <w:p>
            <w:pPr>
              <w:pStyle w:val="TableParagraph"/>
              <w:numPr>
                <w:ilvl w:val="0"/>
                <w:numId w:val="12"/>
              </w:numPr>
              <w:tabs>
                <w:tab w:pos="825" w:val="left" w:leader="none"/>
                <w:tab w:pos="826" w:val="left" w:leader="none"/>
              </w:tabs>
              <w:spacing w:line="240" w:lineRule="auto" w:before="0" w:after="0"/>
              <w:ind w:left="825" w:right="177" w:hanging="360"/>
              <w:jc w:val="left"/>
              <w:rPr>
                <w:sz w:val="18"/>
              </w:rPr>
            </w:pPr>
            <w:r>
              <w:rPr>
                <w:sz w:val="18"/>
              </w:rPr>
              <w:t>Institución reconocida por el Estado mediante sus normas constitucionales,</w:t>
            </w:r>
            <w:r>
              <w:rPr>
                <w:spacing w:val="-15"/>
                <w:sz w:val="18"/>
              </w:rPr>
              <w:t> </w:t>
            </w:r>
            <w:r>
              <w:rPr>
                <w:sz w:val="18"/>
              </w:rPr>
              <w:t>ley educativa (Ley 070) y decreto supremo Nro. 29664 de</w:t>
            </w:r>
            <w:r>
              <w:rPr>
                <w:spacing w:val="-3"/>
                <w:sz w:val="18"/>
              </w:rPr>
              <w:t> </w:t>
            </w:r>
            <w:r>
              <w:rPr>
                <w:sz w:val="18"/>
              </w:rPr>
              <w:t>creación.</w:t>
            </w:r>
          </w:p>
          <w:p>
            <w:pPr>
              <w:pStyle w:val="TableParagraph"/>
              <w:numPr>
                <w:ilvl w:val="0"/>
                <w:numId w:val="12"/>
              </w:numPr>
              <w:tabs>
                <w:tab w:pos="825" w:val="left" w:leader="none"/>
                <w:tab w:pos="826" w:val="left" w:leader="none"/>
              </w:tabs>
              <w:spacing w:line="240" w:lineRule="auto" w:before="0" w:after="0"/>
              <w:ind w:left="825" w:right="306" w:hanging="360"/>
              <w:jc w:val="left"/>
              <w:rPr>
                <w:sz w:val="18"/>
              </w:rPr>
            </w:pPr>
            <w:r>
              <w:rPr>
                <w:sz w:val="18"/>
              </w:rPr>
              <w:t>Cuenta con apoyo económico o</w:t>
            </w:r>
            <w:r>
              <w:rPr>
                <w:spacing w:val="-12"/>
                <w:sz w:val="18"/>
              </w:rPr>
              <w:t> </w:t>
            </w:r>
            <w:r>
              <w:rPr>
                <w:sz w:val="18"/>
              </w:rPr>
              <w:t>recursos para su</w:t>
            </w:r>
            <w:r>
              <w:rPr>
                <w:spacing w:val="-3"/>
                <w:sz w:val="18"/>
              </w:rPr>
              <w:t> </w:t>
            </w:r>
            <w:r>
              <w:rPr>
                <w:sz w:val="18"/>
              </w:rPr>
              <w:t>funcionamiento.</w:t>
            </w:r>
          </w:p>
          <w:p>
            <w:pPr>
              <w:pStyle w:val="TableParagraph"/>
              <w:numPr>
                <w:ilvl w:val="0"/>
                <w:numId w:val="12"/>
              </w:numPr>
              <w:tabs>
                <w:tab w:pos="825" w:val="left" w:leader="none"/>
                <w:tab w:pos="826" w:val="left" w:leader="none"/>
              </w:tabs>
              <w:spacing w:line="240" w:lineRule="auto" w:before="0" w:after="0"/>
              <w:ind w:left="825" w:right="641" w:hanging="360"/>
              <w:jc w:val="left"/>
              <w:rPr>
                <w:sz w:val="18"/>
              </w:rPr>
            </w:pPr>
            <w:r>
              <w:rPr>
                <w:sz w:val="18"/>
              </w:rPr>
              <w:t>Se tiene una relación directa con las organizaciones del pacto de</w:t>
            </w:r>
            <w:r>
              <w:rPr>
                <w:spacing w:val="-13"/>
                <w:sz w:val="18"/>
              </w:rPr>
              <w:t> </w:t>
            </w:r>
            <w:r>
              <w:rPr>
                <w:sz w:val="18"/>
              </w:rPr>
              <w:t>unidad.</w:t>
            </w:r>
          </w:p>
          <w:p>
            <w:pPr>
              <w:pStyle w:val="TableParagraph"/>
              <w:numPr>
                <w:ilvl w:val="0"/>
                <w:numId w:val="12"/>
              </w:numPr>
              <w:tabs>
                <w:tab w:pos="825" w:val="left" w:leader="none"/>
                <w:tab w:pos="826" w:val="left" w:leader="none"/>
              </w:tabs>
              <w:spacing w:line="240" w:lineRule="auto" w:before="0" w:after="0"/>
              <w:ind w:left="825" w:right="557" w:hanging="360"/>
              <w:jc w:val="left"/>
              <w:rPr>
                <w:sz w:val="18"/>
              </w:rPr>
            </w:pPr>
            <w:r>
              <w:rPr>
                <w:sz w:val="18"/>
              </w:rPr>
              <w:t>Universidad con enfoque</w:t>
            </w:r>
            <w:r>
              <w:rPr>
                <w:spacing w:val="-11"/>
                <w:sz w:val="18"/>
              </w:rPr>
              <w:t> </w:t>
            </w:r>
            <w:r>
              <w:rPr>
                <w:sz w:val="18"/>
              </w:rPr>
              <w:t>pedagógico indígena, sustentada por saberes ancestrales.</w:t>
            </w:r>
          </w:p>
          <w:p>
            <w:pPr>
              <w:pStyle w:val="TableParagraph"/>
              <w:numPr>
                <w:ilvl w:val="0"/>
                <w:numId w:val="12"/>
              </w:numPr>
              <w:tabs>
                <w:tab w:pos="825" w:val="left" w:leader="none"/>
                <w:tab w:pos="826" w:val="left" w:leader="none"/>
              </w:tabs>
              <w:spacing w:line="240" w:lineRule="auto" w:before="0" w:after="0"/>
              <w:ind w:left="825" w:right="607" w:hanging="360"/>
              <w:jc w:val="left"/>
              <w:rPr>
                <w:sz w:val="18"/>
              </w:rPr>
            </w:pPr>
            <w:r>
              <w:rPr>
                <w:sz w:val="18"/>
              </w:rPr>
              <w:t>Se cuenta con una carrera de Ing.</w:t>
            </w:r>
            <w:r>
              <w:rPr>
                <w:spacing w:val="-11"/>
                <w:sz w:val="18"/>
              </w:rPr>
              <w:t> </w:t>
            </w:r>
            <w:r>
              <w:rPr>
                <w:sz w:val="18"/>
              </w:rPr>
              <w:t>en Acuicultura que es única en el</w:t>
            </w:r>
            <w:r>
              <w:rPr>
                <w:spacing w:val="-10"/>
                <w:sz w:val="18"/>
              </w:rPr>
              <w:t> </w:t>
            </w:r>
            <w:r>
              <w:rPr>
                <w:sz w:val="18"/>
              </w:rPr>
              <w:t>país.</w:t>
            </w:r>
          </w:p>
          <w:p>
            <w:pPr>
              <w:pStyle w:val="TableParagraph"/>
              <w:numPr>
                <w:ilvl w:val="0"/>
                <w:numId w:val="12"/>
              </w:numPr>
              <w:tabs>
                <w:tab w:pos="826" w:val="left" w:leader="none"/>
              </w:tabs>
              <w:spacing w:line="240" w:lineRule="auto" w:before="0" w:after="0"/>
              <w:ind w:left="825" w:right="246" w:hanging="360"/>
              <w:jc w:val="left"/>
              <w:rPr>
                <w:sz w:val="18"/>
              </w:rPr>
            </w:pPr>
            <w:r>
              <w:rPr>
                <w:sz w:val="18"/>
              </w:rPr>
              <w:t>Se cuenta con infraestructura básica</w:t>
            </w:r>
            <w:r>
              <w:rPr>
                <w:spacing w:val="-15"/>
                <w:sz w:val="18"/>
              </w:rPr>
              <w:t> </w:t>
            </w:r>
            <w:r>
              <w:rPr>
                <w:sz w:val="18"/>
              </w:rPr>
              <w:t>para su</w:t>
            </w:r>
            <w:r>
              <w:rPr>
                <w:spacing w:val="-2"/>
                <w:sz w:val="18"/>
              </w:rPr>
              <w:t> </w:t>
            </w:r>
            <w:r>
              <w:rPr>
                <w:sz w:val="18"/>
              </w:rPr>
              <w:t>desenvolvimiento.</w:t>
            </w:r>
          </w:p>
          <w:p>
            <w:pPr>
              <w:pStyle w:val="TableParagraph"/>
              <w:numPr>
                <w:ilvl w:val="0"/>
                <w:numId w:val="12"/>
              </w:numPr>
              <w:tabs>
                <w:tab w:pos="826" w:val="left" w:leader="none"/>
              </w:tabs>
              <w:spacing w:line="240" w:lineRule="auto" w:before="0" w:after="0"/>
              <w:ind w:left="825" w:right="130" w:hanging="360"/>
              <w:jc w:val="left"/>
              <w:rPr>
                <w:sz w:val="18"/>
              </w:rPr>
            </w:pPr>
            <w:r>
              <w:rPr>
                <w:sz w:val="18"/>
              </w:rPr>
              <w:t>La UNIBOL brinda educación superior productiva que responde a las</w:t>
            </w:r>
            <w:r>
              <w:rPr>
                <w:spacing w:val="-11"/>
                <w:sz w:val="18"/>
              </w:rPr>
              <w:t> </w:t>
            </w:r>
            <w:r>
              <w:rPr>
                <w:sz w:val="18"/>
              </w:rPr>
              <w:t>necesidades del Estado</w:t>
            </w:r>
            <w:r>
              <w:rPr>
                <w:spacing w:val="-2"/>
                <w:sz w:val="18"/>
              </w:rPr>
              <w:t> </w:t>
            </w:r>
            <w:r>
              <w:rPr>
                <w:sz w:val="18"/>
              </w:rPr>
              <w:t>Plurinacional.</w:t>
            </w:r>
          </w:p>
        </w:tc>
        <w:tc>
          <w:tcPr>
            <w:tcW w:w="5386" w:type="dxa"/>
          </w:tcPr>
          <w:p>
            <w:pPr>
              <w:pStyle w:val="TableParagraph"/>
              <w:numPr>
                <w:ilvl w:val="0"/>
                <w:numId w:val="13"/>
              </w:numPr>
              <w:tabs>
                <w:tab w:pos="825" w:val="left" w:leader="none"/>
                <w:tab w:pos="826" w:val="left" w:leader="none"/>
              </w:tabs>
              <w:spacing w:line="240" w:lineRule="auto" w:before="0" w:after="0"/>
              <w:ind w:left="825" w:right="306" w:hanging="360"/>
              <w:jc w:val="left"/>
              <w:rPr>
                <w:sz w:val="18"/>
              </w:rPr>
            </w:pPr>
            <w:r>
              <w:rPr>
                <w:sz w:val="18"/>
              </w:rPr>
              <w:t>Captación y gestión de recursos económicos de</w:t>
            </w:r>
            <w:r>
              <w:rPr>
                <w:spacing w:val="-21"/>
                <w:sz w:val="18"/>
              </w:rPr>
              <w:t> </w:t>
            </w:r>
            <w:r>
              <w:rPr>
                <w:sz w:val="18"/>
              </w:rPr>
              <w:t>diferentes instancias o entidades autónomas públicas y</w:t>
            </w:r>
            <w:r>
              <w:rPr>
                <w:spacing w:val="-9"/>
                <w:sz w:val="18"/>
              </w:rPr>
              <w:t> </w:t>
            </w:r>
            <w:r>
              <w:rPr>
                <w:sz w:val="18"/>
              </w:rPr>
              <w:t>privadas.</w:t>
            </w:r>
          </w:p>
          <w:p>
            <w:pPr>
              <w:pStyle w:val="TableParagraph"/>
              <w:numPr>
                <w:ilvl w:val="0"/>
                <w:numId w:val="13"/>
              </w:numPr>
              <w:tabs>
                <w:tab w:pos="825" w:val="left" w:leader="none"/>
                <w:tab w:pos="826" w:val="left" w:leader="none"/>
              </w:tabs>
              <w:spacing w:line="240" w:lineRule="auto" w:before="0" w:after="0"/>
              <w:ind w:left="825" w:right="117" w:hanging="360"/>
              <w:jc w:val="left"/>
              <w:rPr>
                <w:sz w:val="18"/>
              </w:rPr>
            </w:pPr>
            <w:r>
              <w:rPr>
                <w:sz w:val="18"/>
              </w:rPr>
              <w:t>Por la formación integral la UNIBOL es altamente</w:t>
            </w:r>
            <w:r>
              <w:rPr>
                <w:spacing w:val="-20"/>
                <w:sz w:val="18"/>
              </w:rPr>
              <w:t> </w:t>
            </w:r>
            <w:r>
              <w:rPr>
                <w:sz w:val="18"/>
              </w:rPr>
              <w:t>reconocida a nivel nacional e</w:t>
            </w:r>
            <w:r>
              <w:rPr>
                <w:spacing w:val="-3"/>
                <w:sz w:val="18"/>
              </w:rPr>
              <w:t> </w:t>
            </w:r>
            <w:r>
              <w:rPr>
                <w:sz w:val="18"/>
              </w:rPr>
              <w:t>internacional.</w:t>
            </w:r>
          </w:p>
          <w:p>
            <w:pPr>
              <w:pStyle w:val="TableParagraph"/>
              <w:numPr>
                <w:ilvl w:val="0"/>
                <w:numId w:val="13"/>
              </w:numPr>
              <w:tabs>
                <w:tab w:pos="825" w:val="left" w:leader="none"/>
                <w:tab w:pos="826" w:val="left" w:leader="none"/>
              </w:tabs>
              <w:spacing w:line="240" w:lineRule="auto" w:before="0" w:after="0"/>
              <w:ind w:left="825" w:right="541" w:hanging="360"/>
              <w:jc w:val="left"/>
              <w:rPr>
                <w:sz w:val="18"/>
              </w:rPr>
            </w:pPr>
            <w:r>
              <w:rPr>
                <w:sz w:val="18"/>
              </w:rPr>
              <w:t>La UNIBOL potencia y expande la cultura quechua y los saberes ancestrales en la formación</w:t>
            </w:r>
            <w:r>
              <w:rPr>
                <w:spacing w:val="-6"/>
                <w:sz w:val="18"/>
              </w:rPr>
              <w:t> </w:t>
            </w:r>
            <w:r>
              <w:rPr>
                <w:sz w:val="18"/>
              </w:rPr>
              <w:t>superior.</w:t>
            </w:r>
          </w:p>
          <w:p>
            <w:pPr>
              <w:pStyle w:val="TableParagraph"/>
              <w:numPr>
                <w:ilvl w:val="0"/>
                <w:numId w:val="13"/>
              </w:numPr>
              <w:tabs>
                <w:tab w:pos="825" w:val="left" w:leader="none"/>
                <w:tab w:pos="826" w:val="left" w:leader="none"/>
              </w:tabs>
              <w:spacing w:line="240" w:lineRule="auto" w:before="0" w:after="0"/>
              <w:ind w:left="825" w:right="411" w:hanging="360"/>
              <w:jc w:val="left"/>
              <w:rPr>
                <w:sz w:val="18"/>
              </w:rPr>
            </w:pPr>
            <w:r>
              <w:rPr>
                <w:sz w:val="18"/>
              </w:rPr>
              <w:t>Institución generadora de emprendimientos productivos comunitarios, como también fortalece a empresas estratégicas del Estado</w:t>
            </w:r>
            <w:r>
              <w:rPr>
                <w:spacing w:val="-3"/>
                <w:sz w:val="18"/>
              </w:rPr>
              <w:t> </w:t>
            </w:r>
            <w:r>
              <w:rPr>
                <w:sz w:val="18"/>
              </w:rPr>
              <w:t>Plurinacional.</w:t>
            </w:r>
          </w:p>
          <w:p>
            <w:pPr>
              <w:pStyle w:val="TableParagraph"/>
              <w:numPr>
                <w:ilvl w:val="0"/>
                <w:numId w:val="13"/>
              </w:numPr>
              <w:tabs>
                <w:tab w:pos="825" w:val="left" w:leader="none"/>
                <w:tab w:pos="826" w:val="left" w:leader="none"/>
              </w:tabs>
              <w:spacing w:line="240" w:lineRule="auto" w:before="0" w:after="0"/>
              <w:ind w:left="825" w:right="298" w:hanging="360"/>
              <w:jc w:val="left"/>
              <w:rPr>
                <w:sz w:val="18"/>
              </w:rPr>
            </w:pPr>
            <w:r>
              <w:rPr>
                <w:sz w:val="18"/>
              </w:rPr>
              <w:t>El reconocimiento institucional genera mayor afluencia de estudiantes a nivel del Estado</w:t>
            </w:r>
            <w:r>
              <w:rPr>
                <w:spacing w:val="-7"/>
                <w:sz w:val="18"/>
              </w:rPr>
              <w:t> </w:t>
            </w:r>
            <w:r>
              <w:rPr>
                <w:sz w:val="18"/>
              </w:rPr>
              <w:t>Plurinacional.</w:t>
            </w:r>
          </w:p>
          <w:p>
            <w:pPr>
              <w:pStyle w:val="TableParagraph"/>
              <w:numPr>
                <w:ilvl w:val="0"/>
                <w:numId w:val="13"/>
              </w:numPr>
              <w:tabs>
                <w:tab w:pos="825" w:val="left" w:leader="none"/>
                <w:tab w:pos="826" w:val="left" w:leader="none"/>
              </w:tabs>
              <w:spacing w:line="240" w:lineRule="auto" w:before="0" w:after="0"/>
              <w:ind w:left="825" w:right="919" w:hanging="360"/>
              <w:jc w:val="left"/>
              <w:rPr>
                <w:sz w:val="18"/>
              </w:rPr>
            </w:pPr>
            <w:r>
              <w:rPr>
                <w:sz w:val="18"/>
              </w:rPr>
              <w:t>La UNIBOL se constituye en un centro</w:t>
            </w:r>
            <w:r>
              <w:rPr>
                <w:spacing w:val="-14"/>
                <w:sz w:val="18"/>
              </w:rPr>
              <w:t> </w:t>
            </w:r>
            <w:r>
              <w:rPr>
                <w:sz w:val="18"/>
              </w:rPr>
              <w:t>productivo, investigativo, comunitario a nivel</w:t>
            </w:r>
            <w:r>
              <w:rPr>
                <w:spacing w:val="-4"/>
                <w:sz w:val="18"/>
              </w:rPr>
              <w:t> </w:t>
            </w:r>
            <w:r>
              <w:rPr>
                <w:sz w:val="18"/>
              </w:rPr>
              <w:t>nacional.</w:t>
            </w:r>
          </w:p>
          <w:p>
            <w:pPr>
              <w:pStyle w:val="TableParagraph"/>
              <w:numPr>
                <w:ilvl w:val="0"/>
                <w:numId w:val="13"/>
              </w:numPr>
              <w:tabs>
                <w:tab w:pos="825" w:val="left" w:leader="none"/>
                <w:tab w:pos="826" w:val="left" w:leader="none"/>
              </w:tabs>
              <w:spacing w:line="240" w:lineRule="auto" w:before="0" w:after="0"/>
              <w:ind w:left="825" w:right="287" w:hanging="360"/>
              <w:jc w:val="left"/>
              <w:rPr>
                <w:sz w:val="18"/>
              </w:rPr>
            </w:pPr>
            <w:r>
              <w:rPr>
                <w:sz w:val="18"/>
              </w:rPr>
              <w:t>Realiza estudios e investigaciones científicas innovadoras sobre diferentes temáticas de desarrollo nacional desde</w:t>
            </w:r>
            <w:r>
              <w:rPr>
                <w:spacing w:val="-20"/>
                <w:sz w:val="18"/>
              </w:rPr>
              <w:t> </w:t>
            </w:r>
            <w:r>
              <w:rPr>
                <w:sz w:val="18"/>
              </w:rPr>
              <w:t>la mirada</w:t>
            </w:r>
            <w:r>
              <w:rPr>
                <w:spacing w:val="-2"/>
                <w:sz w:val="18"/>
              </w:rPr>
              <w:t> </w:t>
            </w:r>
            <w:r>
              <w:rPr>
                <w:sz w:val="18"/>
              </w:rPr>
              <w:t>holística.</w:t>
            </w:r>
          </w:p>
          <w:p>
            <w:pPr>
              <w:pStyle w:val="TableParagraph"/>
              <w:numPr>
                <w:ilvl w:val="0"/>
                <w:numId w:val="13"/>
              </w:numPr>
              <w:tabs>
                <w:tab w:pos="825" w:val="left" w:leader="none"/>
                <w:tab w:pos="826" w:val="left" w:leader="none"/>
              </w:tabs>
              <w:spacing w:line="240" w:lineRule="auto" w:before="0" w:after="0"/>
              <w:ind w:left="825" w:right="210" w:hanging="360"/>
              <w:jc w:val="left"/>
              <w:rPr>
                <w:sz w:val="18"/>
              </w:rPr>
            </w:pPr>
            <w:r>
              <w:rPr>
                <w:sz w:val="18"/>
              </w:rPr>
              <w:t>Poner en práctica sus aprendizajes mediante la elaboración de proyectos para el desarrollo de sus</w:t>
            </w:r>
            <w:r>
              <w:rPr>
                <w:spacing w:val="-10"/>
                <w:sz w:val="18"/>
              </w:rPr>
              <w:t> </w:t>
            </w:r>
            <w:r>
              <w:rPr>
                <w:sz w:val="18"/>
              </w:rPr>
              <w:t>comunidades.</w:t>
            </w:r>
          </w:p>
          <w:p>
            <w:pPr>
              <w:pStyle w:val="TableParagraph"/>
              <w:numPr>
                <w:ilvl w:val="0"/>
                <w:numId w:val="13"/>
              </w:numPr>
              <w:tabs>
                <w:tab w:pos="825" w:val="left" w:leader="none"/>
                <w:tab w:pos="826" w:val="left" w:leader="none"/>
              </w:tabs>
              <w:spacing w:line="240" w:lineRule="auto" w:before="0" w:after="0"/>
              <w:ind w:left="825" w:right="150" w:hanging="360"/>
              <w:jc w:val="left"/>
              <w:rPr>
                <w:sz w:val="18"/>
              </w:rPr>
            </w:pPr>
            <w:r>
              <w:rPr>
                <w:sz w:val="18"/>
              </w:rPr>
              <w:t>Oportunidad de fusionar los conocimientos ancestrales y</w:t>
            </w:r>
            <w:r>
              <w:rPr>
                <w:spacing w:val="-20"/>
                <w:sz w:val="18"/>
              </w:rPr>
              <w:t> </w:t>
            </w:r>
            <w:r>
              <w:rPr>
                <w:sz w:val="18"/>
              </w:rPr>
              <w:t>los conocimientos</w:t>
            </w:r>
            <w:r>
              <w:rPr>
                <w:spacing w:val="-2"/>
                <w:sz w:val="18"/>
              </w:rPr>
              <w:t> </w:t>
            </w:r>
            <w:r>
              <w:rPr>
                <w:sz w:val="18"/>
              </w:rPr>
              <w:t>tecnológicos.</w:t>
            </w:r>
          </w:p>
          <w:p>
            <w:pPr>
              <w:pStyle w:val="TableParagraph"/>
              <w:numPr>
                <w:ilvl w:val="0"/>
                <w:numId w:val="13"/>
              </w:numPr>
              <w:tabs>
                <w:tab w:pos="826" w:val="left" w:leader="none"/>
              </w:tabs>
              <w:spacing w:line="240" w:lineRule="auto" w:before="0" w:after="0"/>
              <w:ind w:left="825" w:right="406" w:hanging="360"/>
              <w:jc w:val="left"/>
              <w:rPr>
                <w:sz w:val="18"/>
              </w:rPr>
            </w:pPr>
            <w:r>
              <w:rPr>
                <w:sz w:val="18"/>
              </w:rPr>
              <w:t>La UNIBOL está en condiciones de realizar convenios</w:t>
            </w:r>
            <w:r>
              <w:rPr>
                <w:spacing w:val="-20"/>
                <w:sz w:val="18"/>
              </w:rPr>
              <w:t> </w:t>
            </w:r>
            <w:r>
              <w:rPr>
                <w:sz w:val="18"/>
              </w:rPr>
              <w:t>con instituciones gubernamentales.</w:t>
            </w:r>
          </w:p>
          <w:p>
            <w:pPr>
              <w:pStyle w:val="TableParagraph"/>
              <w:numPr>
                <w:ilvl w:val="0"/>
                <w:numId w:val="13"/>
              </w:numPr>
              <w:tabs>
                <w:tab w:pos="826" w:val="left" w:leader="none"/>
              </w:tabs>
              <w:spacing w:line="240" w:lineRule="auto" w:before="0" w:after="0"/>
              <w:ind w:left="825" w:right="725" w:hanging="360"/>
              <w:jc w:val="left"/>
              <w:rPr>
                <w:sz w:val="18"/>
              </w:rPr>
            </w:pPr>
            <w:r>
              <w:rPr>
                <w:sz w:val="18"/>
              </w:rPr>
              <w:t>Difundir y captar jóvenes interesados en estudiar</w:t>
            </w:r>
            <w:r>
              <w:rPr>
                <w:spacing w:val="-20"/>
                <w:sz w:val="18"/>
              </w:rPr>
              <w:t> </w:t>
            </w:r>
            <w:r>
              <w:rPr>
                <w:sz w:val="18"/>
              </w:rPr>
              <w:t>las carreras de su</w:t>
            </w:r>
            <w:r>
              <w:rPr>
                <w:spacing w:val="-3"/>
                <w:sz w:val="18"/>
              </w:rPr>
              <w:t> </w:t>
            </w:r>
            <w:r>
              <w:rPr>
                <w:sz w:val="18"/>
              </w:rPr>
              <w:t>vocación.</w:t>
            </w:r>
          </w:p>
          <w:p>
            <w:pPr>
              <w:pStyle w:val="TableParagraph"/>
              <w:numPr>
                <w:ilvl w:val="0"/>
                <w:numId w:val="13"/>
              </w:numPr>
              <w:tabs>
                <w:tab w:pos="826" w:val="left" w:leader="none"/>
              </w:tabs>
              <w:spacing w:line="240" w:lineRule="auto" w:before="0" w:after="0"/>
              <w:ind w:left="825" w:right="324" w:hanging="360"/>
              <w:jc w:val="left"/>
              <w:rPr>
                <w:sz w:val="18"/>
              </w:rPr>
            </w:pPr>
            <w:r>
              <w:rPr>
                <w:sz w:val="18"/>
              </w:rPr>
              <w:t>Contar con una ley nacional que de respaldo</w:t>
            </w:r>
            <w:r>
              <w:rPr>
                <w:spacing w:val="-19"/>
                <w:sz w:val="18"/>
              </w:rPr>
              <w:t> </w:t>
            </w:r>
            <w:r>
              <w:rPr>
                <w:sz w:val="18"/>
              </w:rPr>
              <w:t>institucional, financiera y sostenible para su</w:t>
            </w:r>
            <w:r>
              <w:rPr>
                <w:spacing w:val="-5"/>
                <w:sz w:val="18"/>
              </w:rPr>
              <w:t> </w:t>
            </w:r>
            <w:r>
              <w:rPr>
                <w:sz w:val="18"/>
              </w:rPr>
              <w:t>funcionamiento.</w:t>
            </w:r>
          </w:p>
          <w:p>
            <w:pPr>
              <w:pStyle w:val="TableParagraph"/>
              <w:numPr>
                <w:ilvl w:val="0"/>
                <w:numId w:val="13"/>
              </w:numPr>
              <w:tabs>
                <w:tab w:pos="826" w:val="left" w:leader="none"/>
              </w:tabs>
              <w:spacing w:line="240" w:lineRule="auto" w:before="0" w:after="0"/>
              <w:ind w:left="825" w:right="254" w:hanging="360"/>
              <w:jc w:val="left"/>
              <w:rPr>
                <w:sz w:val="18"/>
              </w:rPr>
            </w:pPr>
            <w:r>
              <w:rPr>
                <w:sz w:val="18"/>
              </w:rPr>
              <w:t>Apoyar en la política de desarrollo de la soberanía alimentaria, científica y tecnológica. Incorporándose en las ciudadelas científicas e institutos de desarrollo, acorde a</w:t>
            </w:r>
            <w:r>
              <w:rPr>
                <w:spacing w:val="-23"/>
                <w:sz w:val="18"/>
              </w:rPr>
              <w:t> </w:t>
            </w:r>
            <w:r>
              <w:rPr>
                <w:sz w:val="18"/>
              </w:rPr>
              <w:t>la agenda patriótica 2025.</w:t>
            </w:r>
          </w:p>
          <w:p>
            <w:pPr>
              <w:pStyle w:val="TableParagraph"/>
              <w:numPr>
                <w:ilvl w:val="0"/>
                <w:numId w:val="13"/>
              </w:numPr>
              <w:tabs>
                <w:tab w:pos="826" w:val="left" w:leader="none"/>
              </w:tabs>
              <w:spacing w:line="240" w:lineRule="auto" w:before="0" w:after="0"/>
              <w:ind w:left="825" w:right="294" w:hanging="360"/>
              <w:jc w:val="left"/>
              <w:rPr>
                <w:sz w:val="18"/>
              </w:rPr>
            </w:pPr>
            <w:r>
              <w:rPr>
                <w:sz w:val="18"/>
              </w:rPr>
              <w:t>Expandir a nivel nacional la formación de postgrados (diplomados, especialidades, maestrías, doctorados y</w:t>
            </w:r>
            <w:r>
              <w:rPr>
                <w:spacing w:val="-20"/>
                <w:sz w:val="18"/>
              </w:rPr>
              <w:t> </w:t>
            </w:r>
            <w:r>
              <w:rPr>
                <w:sz w:val="18"/>
              </w:rPr>
              <w:t>post doctorados) con mirada integral</w:t>
            </w:r>
            <w:r>
              <w:rPr>
                <w:spacing w:val="-3"/>
                <w:sz w:val="18"/>
              </w:rPr>
              <w:t> </w:t>
            </w:r>
            <w:r>
              <w:rPr>
                <w:sz w:val="18"/>
              </w:rPr>
              <w:t>holística.</w:t>
            </w:r>
          </w:p>
        </w:tc>
      </w:tr>
    </w:tbl>
    <w:p>
      <w:pPr>
        <w:pStyle w:val="BodyText"/>
        <w:rPr>
          <w:rFonts w:ascii="Times New Roman"/>
          <w:b/>
          <w:sz w:val="20"/>
        </w:rPr>
      </w:pPr>
    </w:p>
    <w:p>
      <w:pPr>
        <w:pStyle w:val="BodyText"/>
        <w:spacing w:before="2" w:after="1"/>
        <w:rPr>
          <w:rFonts w:ascii="Times New Roman"/>
          <w:b/>
        </w:rPr>
      </w:pPr>
    </w:p>
    <w:tbl>
      <w:tblPr>
        <w:tblW w:w="0" w:type="auto"/>
        <w:jc w:val="left"/>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4"/>
        <w:gridCol w:w="3262"/>
      </w:tblGrid>
      <w:tr>
        <w:trPr>
          <w:trHeight w:val="309" w:hRule="atLeast"/>
        </w:trPr>
        <w:tc>
          <w:tcPr>
            <w:tcW w:w="6234" w:type="dxa"/>
            <w:shd w:val="clear" w:color="auto" w:fill="006FC0"/>
          </w:tcPr>
          <w:p>
            <w:pPr>
              <w:pStyle w:val="TableParagraph"/>
              <w:spacing w:line="289" w:lineRule="exact"/>
              <w:ind w:left="83"/>
              <w:rPr>
                <w:rFonts w:ascii="Arial Black"/>
                <w:sz w:val="22"/>
              </w:rPr>
            </w:pPr>
            <w:r>
              <w:rPr>
                <w:rFonts w:ascii="Arial Black"/>
                <w:color w:val="F1F1F1"/>
                <w:sz w:val="22"/>
              </w:rPr>
              <w:t>Debilidades</w:t>
            </w:r>
          </w:p>
        </w:tc>
        <w:tc>
          <w:tcPr>
            <w:tcW w:w="3262" w:type="dxa"/>
            <w:shd w:val="clear" w:color="auto" w:fill="006FC0"/>
          </w:tcPr>
          <w:p>
            <w:pPr>
              <w:pStyle w:val="TableParagraph"/>
              <w:spacing w:line="289" w:lineRule="exact"/>
              <w:ind w:left="83"/>
              <w:rPr>
                <w:rFonts w:ascii="Arial Black"/>
                <w:sz w:val="22"/>
              </w:rPr>
            </w:pPr>
            <w:r>
              <w:rPr>
                <w:rFonts w:ascii="Arial Black"/>
                <w:color w:val="F1F1F1"/>
                <w:sz w:val="22"/>
              </w:rPr>
              <w:t>Amenazas</w:t>
            </w:r>
          </w:p>
        </w:tc>
      </w:tr>
      <w:tr>
        <w:trPr>
          <w:trHeight w:val="2198" w:hRule="atLeast"/>
        </w:trPr>
        <w:tc>
          <w:tcPr>
            <w:tcW w:w="6234" w:type="dxa"/>
          </w:tcPr>
          <w:p>
            <w:pPr>
              <w:pStyle w:val="TableParagraph"/>
              <w:numPr>
                <w:ilvl w:val="0"/>
                <w:numId w:val="14"/>
              </w:numPr>
              <w:tabs>
                <w:tab w:pos="444" w:val="left" w:leader="none"/>
                <w:tab w:pos="445" w:val="left" w:leader="none"/>
              </w:tabs>
              <w:spacing w:line="240" w:lineRule="auto" w:before="0" w:after="0"/>
              <w:ind w:left="444" w:right="141" w:hanging="361"/>
              <w:jc w:val="left"/>
              <w:rPr>
                <w:sz w:val="20"/>
              </w:rPr>
            </w:pPr>
            <w:r>
              <w:rPr>
                <w:sz w:val="20"/>
              </w:rPr>
              <w:t>Poca organización, planificación y coordinación de toda la</w:t>
            </w:r>
            <w:r>
              <w:rPr>
                <w:spacing w:val="-19"/>
                <w:sz w:val="20"/>
              </w:rPr>
              <w:t> </w:t>
            </w:r>
            <w:r>
              <w:rPr>
                <w:sz w:val="20"/>
              </w:rPr>
              <w:t>comunidad universitaria.</w:t>
            </w:r>
          </w:p>
          <w:p>
            <w:pPr>
              <w:pStyle w:val="TableParagraph"/>
              <w:numPr>
                <w:ilvl w:val="0"/>
                <w:numId w:val="14"/>
              </w:numPr>
              <w:tabs>
                <w:tab w:pos="444" w:val="left" w:leader="none"/>
                <w:tab w:pos="445" w:val="left" w:leader="none"/>
              </w:tabs>
              <w:spacing w:line="240" w:lineRule="auto" w:before="0" w:after="0"/>
              <w:ind w:left="444" w:right="499" w:hanging="361"/>
              <w:jc w:val="left"/>
              <w:rPr>
                <w:sz w:val="20"/>
              </w:rPr>
            </w:pPr>
            <w:r>
              <w:rPr>
                <w:sz w:val="20"/>
              </w:rPr>
              <w:t>Normativa interna y reglamentación para la investigación, aun es débil e</w:t>
            </w:r>
            <w:r>
              <w:rPr>
                <w:spacing w:val="-2"/>
                <w:sz w:val="20"/>
              </w:rPr>
              <w:t> </w:t>
            </w:r>
            <w:r>
              <w:rPr>
                <w:sz w:val="20"/>
              </w:rPr>
              <w:t>incompleta.</w:t>
            </w:r>
          </w:p>
          <w:p>
            <w:pPr>
              <w:pStyle w:val="TableParagraph"/>
              <w:numPr>
                <w:ilvl w:val="0"/>
                <w:numId w:val="14"/>
              </w:numPr>
              <w:tabs>
                <w:tab w:pos="444" w:val="left" w:leader="none"/>
                <w:tab w:pos="445" w:val="left" w:leader="none"/>
              </w:tabs>
              <w:spacing w:line="240" w:lineRule="auto" w:before="0" w:after="0"/>
              <w:ind w:left="444" w:right="1169" w:hanging="361"/>
              <w:jc w:val="left"/>
              <w:rPr>
                <w:sz w:val="20"/>
              </w:rPr>
            </w:pPr>
            <w:r>
              <w:rPr>
                <w:sz w:val="20"/>
              </w:rPr>
              <w:t>Insuficientes maquinas en el telecentro y laboratorios</w:t>
            </w:r>
            <w:r>
              <w:rPr>
                <w:spacing w:val="-19"/>
                <w:sz w:val="20"/>
              </w:rPr>
              <w:t> </w:t>
            </w:r>
            <w:r>
              <w:rPr>
                <w:sz w:val="20"/>
              </w:rPr>
              <w:t>de computación de la</w:t>
            </w:r>
            <w:r>
              <w:rPr>
                <w:spacing w:val="-2"/>
                <w:sz w:val="20"/>
              </w:rPr>
              <w:t> </w:t>
            </w:r>
            <w:r>
              <w:rPr>
                <w:sz w:val="20"/>
              </w:rPr>
              <w:t>universidad.</w:t>
            </w:r>
          </w:p>
          <w:p>
            <w:pPr>
              <w:pStyle w:val="TableParagraph"/>
              <w:numPr>
                <w:ilvl w:val="0"/>
                <w:numId w:val="14"/>
              </w:numPr>
              <w:tabs>
                <w:tab w:pos="444" w:val="left" w:leader="none"/>
                <w:tab w:pos="445" w:val="left" w:leader="none"/>
              </w:tabs>
              <w:spacing w:line="240" w:lineRule="auto" w:before="1" w:after="0"/>
              <w:ind w:left="444" w:right="534" w:hanging="361"/>
              <w:jc w:val="left"/>
              <w:rPr>
                <w:sz w:val="20"/>
              </w:rPr>
            </w:pPr>
            <w:r>
              <w:rPr>
                <w:sz w:val="20"/>
              </w:rPr>
              <w:t>Implementación del sistema integrado para la gestión de notas</w:t>
            </w:r>
            <w:r>
              <w:rPr>
                <w:spacing w:val="-21"/>
                <w:sz w:val="20"/>
              </w:rPr>
              <w:t> </w:t>
            </w:r>
            <w:r>
              <w:rPr>
                <w:sz w:val="20"/>
              </w:rPr>
              <w:t>y administración universitaria</w:t>
            </w:r>
            <w:r>
              <w:rPr>
                <w:spacing w:val="-1"/>
                <w:sz w:val="20"/>
              </w:rPr>
              <w:t> </w:t>
            </w:r>
            <w:r>
              <w:rPr>
                <w:sz w:val="20"/>
              </w:rPr>
              <w:t>(SICAH).</w:t>
            </w:r>
          </w:p>
          <w:p>
            <w:pPr>
              <w:pStyle w:val="TableParagraph"/>
              <w:numPr>
                <w:ilvl w:val="0"/>
                <w:numId w:val="14"/>
              </w:numPr>
              <w:tabs>
                <w:tab w:pos="444" w:val="left" w:leader="none"/>
                <w:tab w:pos="445" w:val="left" w:leader="none"/>
              </w:tabs>
              <w:spacing w:line="224" w:lineRule="exact" w:before="0" w:after="0"/>
              <w:ind w:left="444" w:right="0" w:hanging="362"/>
              <w:jc w:val="left"/>
              <w:rPr>
                <w:sz w:val="20"/>
              </w:rPr>
            </w:pPr>
            <w:r>
              <w:rPr>
                <w:sz w:val="20"/>
              </w:rPr>
              <w:t>Falta una estructura de red de fibra óptica que enlace las</w:t>
            </w:r>
            <w:r>
              <w:rPr>
                <w:spacing w:val="-24"/>
                <w:sz w:val="20"/>
              </w:rPr>
              <w:t> </w:t>
            </w:r>
            <w:r>
              <w:rPr>
                <w:sz w:val="20"/>
              </w:rPr>
              <w:t>direcciones,</w:t>
            </w:r>
          </w:p>
        </w:tc>
        <w:tc>
          <w:tcPr>
            <w:tcW w:w="3262" w:type="dxa"/>
          </w:tcPr>
          <w:p>
            <w:pPr>
              <w:pStyle w:val="TableParagraph"/>
              <w:numPr>
                <w:ilvl w:val="0"/>
                <w:numId w:val="15"/>
              </w:numPr>
              <w:tabs>
                <w:tab w:pos="803" w:val="left" w:leader="none"/>
                <w:tab w:pos="804" w:val="left" w:leader="none"/>
              </w:tabs>
              <w:spacing w:line="240" w:lineRule="auto" w:before="0" w:after="0"/>
              <w:ind w:left="803" w:right="202" w:hanging="360"/>
              <w:jc w:val="left"/>
              <w:rPr>
                <w:sz w:val="20"/>
              </w:rPr>
            </w:pPr>
            <w:r>
              <w:rPr>
                <w:sz w:val="20"/>
              </w:rPr>
              <w:t>Congelamiento de presupuesto para el</w:t>
            </w:r>
            <w:r>
              <w:rPr>
                <w:spacing w:val="-13"/>
                <w:sz w:val="20"/>
              </w:rPr>
              <w:t> </w:t>
            </w:r>
            <w:r>
              <w:rPr>
                <w:sz w:val="20"/>
              </w:rPr>
              <w:t>normal desenvolvimiento de las actividades</w:t>
            </w:r>
          </w:p>
          <w:p>
            <w:pPr>
              <w:pStyle w:val="TableParagraph"/>
              <w:numPr>
                <w:ilvl w:val="0"/>
                <w:numId w:val="15"/>
              </w:numPr>
              <w:tabs>
                <w:tab w:pos="803" w:val="left" w:leader="none"/>
                <w:tab w:pos="804" w:val="left" w:leader="none"/>
              </w:tabs>
              <w:spacing w:line="240" w:lineRule="auto" w:before="0" w:after="0"/>
              <w:ind w:left="803" w:right="207" w:hanging="360"/>
              <w:jc w:val="left"/>
              <w:rPr>
                <w:sz w:val="20"/>
              </w:rPr>
            </w:pPr>
            <w:r>
              <w:rPr>
                <w:sz w:val="20"/>
              </w:rPr>
              <w:t>Falta de conocimiento de</w:t>
            </w:r>
            <w:r>
              <w:rPr>
                <w:spacing w:val="-13"/>
                <w:sz w:val="20"/>
              </w:rPr>
              <w:t> </w:t>
            </w:r>
            <w:r>
              <w:rPr>
                <w:sz w:val="20"/>
              </w:rPr>
              <w:t>la sociedad a la propuesta curricular de la</w:t>
            </w:r>
            <w:r>
              <w:rPr>
                <w:spacing w:val="-3"/>
                <w:sz w:val="20"/>
              </w:rPr>
              <w:t> </w:t>
            </w:r>
            <w:r>
              <w:rPr>
                <w:sz w:val="20"/>
              </w:rPr>
              <w:t>UNIBOL</w:t>
            </w:r>
          </w:p>
          <w:p>
            <w:pPr>
              <w:pStyle w:val="TableParagraph"/>
              <w:numPr>
                <w:ilvl w:val="0"/>
                <w:numId w:val="15"/>
              </w:numPr>
              <w:tabs>
                <w:tab w:pos="803" w:val="left" w:leader="none"/>
                <w:tab w:pos="804" w:val="left" w:leader="none"/>
              </w:tabs>
              <w:spacing w:line="243" w:lineRule="exact" w:before="1" w:after="0"/>
              <w:ind w:left="804" w:right="0" w:hanging="361"/>
              <w:jc w:val="left"/>
              <w:rPr>
                <w:sz w:val="20"/>
              </w:rPr>
            </w:pPr>
            <w:r>
              <w:rPr>
                <w:sz w:val="20"/>
              </w:rPr>
              <w:t>Alta dependencia</w:t>
            </w:r>
            <w:r>
              <w:rPr>
                <w:spacing w:val="-1"/>
                <w:sz w:val="20"/>
              </w:rPr>
              <w:t> </w:t>
            </w:r>
            <w:r>
              <w:rPr>
                <w:sz w:val="20"/>
              </w:rPr>
              <w:t>de</w:t>
            </w:r>
          </w:p>
          <w:p>
            <w:pPr>
              <w:pStyle w:val="TableParagraph"/>
              <w:spacing w:line="225" w:lineRule="exact"/>
              <w:ind w:left="803"/>
              <w:rPr>
                <w:sz w:val="20"/>
              </w:rPr>
            </w:pPr>
            <w:r>
              <w:rPr>
                <w:sz w:val="20"/>
              </w:rPr>
              <w:t>recursos del IDH para normal</w:t>
            </w:r>
          </w:p>
        </w:tc>
      </w:tr>
    </w:tbl>
    <w:p>
      <w:pPr>
        <w:spacing w:after="0" w:line="225" w:lineRule="exact"/>
        <w:rPr>
          <w:sz w:val="20"/>
        </w:rPr>
        <w:sectPr>
          <w:pgSz w:w="11910" w:h="16840"/>
          <w:pgMar w:header="0" w:footer="922" w:top="1320" w:bottom="1200" w:left="620" w:right="280"/>
        </w:sectPr>
      </w:pPr>
    </w:p>
    <w:tbl>
      <w:tblPr>
        <w:tblW w:w="0" w:type="auto"/>
        <w:jc w:val="left"/>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4"/>
        <w:gridCol w:w="3262"/>
      </w:tblGrid>
      <w:tr>
        <w:trPr>
          <w:trHeight w:val="13919" w:hRule="atLeast"/>
        </w:trPr>
        <w:tc>
          <w:tcPr>
            <w:tcW w:w="6234" w:type="dxa"/>
          </w:tcPr>
          <w:p>
            <w:pPr>
              <w:pStyle w:val="TableParagraph"/>
              <w:ind w:left="444"/>
              <w:rPr>
                <w:sz w:val="20"/>
              </w:rPr>
            </w:pPr>
            <w:r>
              <w:rPr>
                <w:sz w:val="20"/>
              </w:rPr>
              <w:t>rectorado, vice rectorado, residencia, aulas, laboratorios y departamentos de investigación y postgrado.</w:t>
            </w:r>
          </w:p>
          <w:p>
            <w:pPr>
              <w:pStyle w:val="TableParagraph"/>
              <w:numPr>
                <w:ilvl w:val="0"/>
                <w:numId w:val="16"/>
              </w:numPr>
              <w:tabs>
                <w:tab w:pos="444" w:val="left" w:leader="none"/>
                <w:tab w:pos="445" w:val="left" w:leader="none"/>
              </w:tabs>
              <w:spacing w:line="243" w:lineRule="exact" w:before="0" w:after="0"/>
              <w:ind w:left="444" w:right="0" w:hanging="362"/>
              <w:jc w:val="left"/>
              <w:rPr>
                <w:sz w:val="20"/>
              </w:rPr>
            </w:pPr>
            <w:r>
              <w:rPr>
                <w:sz w:val="20"/>
              </w:rPr>
              <w:t>Carencia de centro de producción</w:t>
            </w:r>
            <w:r>
              <w:rPr>
                <w:spacing w:val="-4"/>
                <w:sz w:val="20"/>
              </w:rPr>
              <w:t> </w:t>
            </w:r>
            <w:r>
              <w:rPr>
                <w:sz w:val="20"/>
              </w:rPr>
              <w:t>audiovisual.</w:t>
            </w:r>
          </w:p>
          <w:p>
            <w:pPr>
              <w:pStyle w:val="TableParagraph"/>
              <w:numPr>
                <w:ilvl w:val="0"/>
                <w:numId w:val="16"/>
              </w:numPr>
              <w:tabs>
                <w:tab w:pos="444" w:val="left" w:leader="none"/>
                <w:tab w:pos="445" w:val="left" w:leader="none"/>
              </w:tabs>
              <w:spacing w:line="243" w:lineRule="exact" w:before="0" w:after="0"/>
              <w:ind w:left="444" w:right="0" w:hanging="362"/>
              <w:jc w:val="left"/>
              <w:rPr>
                <w:sz w:val="20"/>
              </w:rPr>
            </w:pPr>
            <w:r>
              <w:rPr>
                <w:sz w:val="20"/>
              </w:rPr>
              <w:t>Inexistencia de mecanismos de incentivo y motivación al</w:t>
            </w:r>
            <w:r>
              <w:rPr>
                <w:spacing w:val="-9"/>
                <w:sz w:val="20"/>
              </w:rPr>
              <w:t> </w:t>
            </w:r>
            <w:r>
              <w:rPr>
                <w:sz w:val="20"/>
              </w:rPr>
              <w:t>personal.</w:t>
            </w:r>
          </w:p>
          <w:p>
            <w:pPr>
              <w:pStyle w:val="TableParagraph"/>
              <w:numPr>
                <w:ilvl w:val="0"/>
                <w:numId w:val="16"/>
              </w:numPr>
              <w:tabs>
                <w:tab w:pos="444" w:val="left" w:leader="none"/>
                <w:tab w:pos="445" w:val="left" w:leader="none"/>
              </w:tabs>
              <w:spacing w:line="240" w:lineRule="auto" w:before="0" w:after="0"/>
              <w:ind w:left="444" w:right="219" w:hanging="361"/>
              <w:jc w:val="left"/>
              <w:rPr>
                <w:sz w:val="20"/>
              </w:rPr>
            </w:pPr>
            <w:r>
              <w:rPr>
                <w:sz w:val="20"/>
              </w:rPr>
              <w:t>Falta de condiciones para la investigación y financiamiento de</w:t>
            </w:r>
            <w:r>
              <w:rPr>
                <w:spacing w:val="-28"/>
                <w:sz w:val="20"/>
              </w:rPr>
              <w:t> </w:t>
            </w:r>
            <w:r>
              <w:rPr>
                <w:sz w:val="20"/>
              </w:rPr>
              <w:t>apoyo logístico a tesistas,</w:t>
            </w:r>
            <w:r>
              <w:rPr>
                <w:spacing w:val="-1"/>
                <w:sz w:val="20"/>
              </w:rPr>
              <w:t> </w:t>
            </w:r>
            <w:r>
              <w:rPr>
                <w:sz w:val="20"/>
              </w:rPr>
              <w:t>etc.</w:t>
            </w:r>
          </w:p>
          <w:p>
            <w:pPr>
              <w:pStyle w:val="TableParagraph"/>
              <w:numPr>
                <w:ilvl w:val="0"/>
                <w:numId w:val="16"/>
              </w:numPr>
              <w:tabs>
                <w:tab w:pos="444" w:val="left" w:leader="none"/>
                <w:tab w:pos="445" w:val="left" w:leader="none"/>
              </w:tabs>
              <w:spacing w:line="240" w:lineRule="auto" w:before="0" w:after="0"/>
              <w:ind w:left="444" w:right="0" w:hanging="362"/>
              <w:jc w:val="left"/>
              <w:rPr>
                <w:sz w:val="20"/>
              </w:rPr>
            </w:pPr>
            <w:r>
              <w:rPr>
                <w:sz w:val="20"/>
              </w:rPr>
              <w:t>Falta de celeridad en trámites</w:t>
            </w:r>
            <w:r>
              <w:rPr>
                <w:spacing w:val="-2"/>
                <w:sz w:val="20"/>
              </w:rPr>
              <w:t> </w:t>
            </w:r>
            <w:r>
              <w:rPr>
                <w:sz w:val="20"/>
              </w:rPr>
              <w:t>académicos.</w:t>
            </w:r>
          </w:p>
          <w:p>
            <w:pPr>
              <w:pStyle w:val="TableParagraph"/>
              <w:numPr>
                <w:ilvl w:val="0"/>
                <w:numId w:val="16"/>
              </w:numPr>
              <w:tabs>
                <w:tab w:pos="445" w:val="left" w:leader="none"/>
              </w:tabs>
              <w:spacing w:line="243" w:lineRule="exact" w:before="1" w:after="0"/>
              <w:ind w:left="444" w:right="0" w:hanging="362"/>
              <w:jc w:val="left"/>
              <w:rPr>
                <w:sz w:val="20"/>
              </w:rPr>
            </w:pPr>
            <w:r>
              <w:rPr>
                <w:sz w:val="20"/>
              </w:rPr>
              <w:t>Carencia de equipos de apoyo a la actividad</w:t>
            </w:r>
            <w:r>
              <w:rPr>
                <w:spacing w:val="-6"/>
                <w:sz w:val="20"/>
              </w:rPr>
              <w:t> </w:t>
            </w:r>
            <w:r>
              <w:rPr>
                <w:sz w:val="20"/>
              </w:rPr>
              <w:t>académica.</w:t>
            </w:r>
          </w:p>
          <w:p>
            <w:pPr>
              <w:pStyle w:val="TableParagraph"/>
              <w:numPr>
                <w:ilvl w:val="0"/>
                <w:numId w:val="16"/>
              </w:numPr>
              <w:tabs>
                <w:tab w:pos="445" w:val="left" w:leader="none"/>
              </w:tabs>
              <w:spacing w:line="240" w:lineRule="auto" w:before="0" w:after="0"/>
              <w:ind w:left="444" w:right="235" w:hanging="361"/>
              <w:jc w:val="left"/>
              <w:rPr>
                <w:sz w:val="20"/>
              </w:rPr>
            </w:pPr>
            <w:r>
              <w:rPr>
                <w:sz w:val="20"/>
              </w:rPr>
              <w:t>Carencia de otras carreras (ciencias lingüísticas, petrolera,</w:t>
            </w:r>
            <w:r>
              <w:rPr>
                <w:spacing w:val="-23"/>
                <w:sz w:val="20"/>
              </w:rPr>
              <w:t> </w:t>
            </w:r>
            <w:r>
              <w:rPr>
                <w:sz w:val="20"/>
              </w:rPr>
              <w:t>medicina, etc.) por la demanda de estudiantes quechuas que prefieren otras profesiones.</w:t>
            </w:r>
          </w:p>
          <w:p>
            <w:pPr>
              <w:pStyle w:val="TableParagraph"/>
              <w:numPr>
                <w:ilvl w:val="0"/>
                <w:numId w:val="16"/>
              </w:numPr>
              <w:tabs>
                <w:tab w:pos="445" w:val="left" w:leader="none"/>
              </w:tabs>
              <w:spacing w:line="240" w:lineRule="auto" w:before="1" w:after="0"/>
              <w:ind w:left="444" w:right="342" w:hanging="361"/>
              <w:jc w:val="left"/>
              <w:rPr>
                <w:sz w:val="20"/>
              </w:rPr>
            </w:pPr>
            <w:r>
              <w:rPr>
                <w:sz w:val="20"/>
              </w:rPr>
              <w:t>Falta de espacios de concienciación para la generación de valores</w:t>
            </w:r>
            <w:r>
              <w:rPr>
                <w:spacing w:val="-27"/>
                <w:sz w:val="20"/>
              </w:rPr>
              <w:t> </w:t>
            </w:r>
            <w:r>
              <w:rPr>
                <w:sz w:val="20"/>
              </w:rPr>
              <w:t>y principios morales coherentes con la filosofía</w:t>
            </w:r>
            <w:r>
              <w:rPr>
                <w:spacing w:val="-10"/>
                <w:sz w:val="20"/>
              </w:rPr>
              <w:t> </w:t>
            </w:r>
            <w:r>
              <w:rPr>
                <w:sz w:val="20"/>
              </w:rPr>
              <w:t>universitaria</w:t>
            </w:r>
          </w:p>
          <w:p>
            <w:pPr>
              <w:pStyle w:val="TableParagraph"/>
              <w:numPr>
                <w:ilvl w:val="0"/>
                <w:numId w:val="16"/>
              </w:numPr>
              <w:tabs>
                <w:tab w:pos="445" w:val="left" w:leader="none"/>
              </w:tabs>
              <w:spacing w:line="240" w:lineRule="auto" w:before="0" w:after="0"/>
              <w:ind w:left="444" w:right="492" w:hanging="361"/>
              <w:jc w:val="left"/>
              <w:rPr>
                <w:sz w:val="20"/>
              </w:rPr>
            </w:pPr>
            <w:r>
              <w:rPr>
                <w:sz w:val="20"/>
              </w:rPr>
              <w:t>Falta de espacios de integración entre la comunidad</w:t>
            </w:r>
            <w:r>
              <w:rPr>
                <w:spacing w:val="-21"/>
                <w:sz w:val="20"/>
              </w:rPr>
              <w:t> </w:t>
            </w:r>
            <w:r>
              <w:rPr>
                <w:sz w:val="20"/>
              </w:rPr>
              <w:t>universitaria docentes administrativos y</w:t>
            </w:r>
            <w:r>
              <w:rPr>
                <w:spacing w:val="-4"/>
                <w:sz w:val="20"/>
              </w:rPr>
              <w:t> </w:t>
            </w:r>
            <w:r>
              <w:rPr>
                <w:sz w:val="20"/>
              </w:rPr>
              <w:t>estudiantes</w:t>
            </w:r>
          </w:p>
          <w:p>
            <w:pPr>
              <w:pStyle w:val="TableParagraph"/>
              <w:numPr>
                <w:ilvl w:val="0"/>
                <w:numId w:val="16"/>
              </w:numPr>
              <w:tabs>
                <w:tab w:pos="445" w:val="left" w:leader="none"/>
              </w:tabs>
              <w:spacing w:line="243" w:lineRule="exact" w:before="0" w:after="0"/>
              <w:ind w:left="444" w:right="0" w:hanging="362"/>
              <w:jc w:val="left"/>
              <w:rPr>
                <w:sz w:val="20"/>
              </w:rPr>
            </w:pPr>
            <w:r>
              <w:rPr>
                <w:sz w:val="20"/>
              </w:rPr>
              <w:t>Falta de hábitos de limpieza e higiene en la comunidad</w:t>
            </w:r>
            <w:r>
              <w:rPr>
                <w:spacing w:val="-18"/>
                <w:sz w:val="20"/>
              </w:rPr>
              <w:t> </w:t>
            </w:r>
            <w:r>
              <w:rPr>
                <w:sz w:val="20"/>
              </w:rPr>
              <w:t>universitaria</w:t>
            </w:r>
          </w:p>
          <w:p>
            <w:pPr>
              <w:pStyle w:val="TableParagraph"/>
              <w:numPr>
                <w:ilvl w:val="0"/>
                <w:numId w:val="16"/>
              </w:numPr>
              <w:tabs>
                <w:tab w:pos="445" w:val="left" w:leader="none"/>
              </w:tabs>
              <w:spacing w:line="240" w:lineRule="auto" w:before="0" w:after="0"/>
              <w:ind w:left="444" w:right="341" w:hanging="361"/>
              <w:jc w:val="left"/>
              <w:rPr>
                <w:sz w:val="20"/>
              </w:rPr>
            </w:pPr>
            <w:r>
              <w:rPr>
                <w:sz w:val="20"/>
              </w:rPr>
              <w:t>Falta de normativa de distribución y comercialización de</w:t>
            </w:r>
            <w:r>
              <w:rPr>
                <w:spacing w:val="-22"/>
                <w:sz w:val="20"/>
              </w:rPr>
              <w:t> </w:t>
            </w:r>
            <w:r>
              <w:rPr>
                <w:sz w:val="20"/>
              </w:rPr>
              <w:t>productos elaborados en UNIBOL. (4 Cuentas propias x</w:t>
            </w:r>
            <w:r>
              <w:rPr>
                <w:spacing w:val="-9"/>
                <w:sz w:val="20"/>
              </w:rPr>
              <w:t> </w:t>
            </w:r>
            <w:r>
              <w:rPr>
                <w:sz w:val="20"/>
              </w:rPr>
              <w:t>Carrera)</w:t>
            </w:r>
          </w:p>
          <w:p>
            <w:pPr>
              <w:pStyle w:val="TableParagraph"/>
              <w:numPr>
                <w:ilvl w:val="0"/>
                <w:numId w:val="16"/>
              </w:numPr>
              <w:tabs>
                <w:tab w:pos="445" w:val="left" w:leader="none"/>
              </w:tabs>
              <w:spacing w:line="240" w:lineRule="auto" w:before="1" w:after="0"/>
              <w:ind w:left="444" w:right="482" w:hanging="361"/>
              <w:jc w:val="left"/>
              <w:rPr>
                <w:sz w:val="20"/>
              </w:rPr>
            </w:pPr>
            <w:r>
              <w:rPr>
                <w:sz w:val="20"/>
              </w:rPr>
              <w:t>Estructura de la malla curricular. (Excesiva carga horaria</w:t>
            </w:r>
            <w:r>
              <w:rPr>
                <w:spacing w:val="-24"/>
                <w:sz w:val="20"/>
              </w:rPr>
              <w:t> </w:t>
            </w:r>
            <w:r>
              <w:rPr>
                <w:sz w:val="20"/>
              </w:rPr>
              <w:t>docente, contenidos mínimos acordes a la realidad</w:t>
            </w:r>
            <w:r>
              <w:rPr>
                <w:spacing w:val="-4"/>
                <w:sz w:val="20"/>
              </w:rPr>
              <w:t> </w:t>
            </w:r>
            <w:r>
              <w:rPr>
                <w:sz w:val="20"/>
              </w:rPr>
              <w:t>nacional)</w:t>
            </w:r>
          </w:p>
          <w:p>
            <w:pPr>
              <w:pStyle w:val="TableParagraph"/>
              <w:numPr>
                <w:ilvl w:val="0"/>
                <w:numId w:val="16"/>
              </w:numPr>
              <w:tabs>
                <w:tab w:pos="445" w:val="left" w:leader="none"/>
              </w:tabs>
              <w:spacing w:line="240" w:lineRule="auto" w:before="0" w:after="0"/>
              <w:ind w:left="444" w:right="404" w:hanging="361"/>
              <w:jc w:val="left"/>
              <w:rPr>
                <w:sz w:val="20"/>
              </w:rPr>
            </w:pPr>
            <w:r>
              <w:rPr>
                <w:sz w:val="20"/>
              </w:rPr>
              <w:t>Escaso material Bibliográfico con información actual en el área productiva especializada, lengua y cultura. Falta de una biblioteca virtual y de medios audiovisuales (DVDs</w:t>
            </w:r>
            <w:r>
              <w:rPr>
                <w:spacing w:val="-8"/>
                <w:sz w:val="20"/>
              </w:rPr>
              <w:t> </w:t>
            </w:r>
            <w:r>
              <w:rPr>
                <w:sz w:val="20"/>
              </w:rPr>
              <w:t>educativos)</w:t>
            </w:r>
          </w:p>
          <w:p>
            <w:pPr>
              <w:pStyle w:val="TableParagraph"/>
              <w:numPr>
                <w:ilvl w:val="0"/>
                <w:numId w:val="16"/>
              </w:numPr>
              <w:tabs>
                <w:tab w:pos="445" w:val="left" w:leader="none"/>
              </w:tabs>
              <w:spacing w:line="240" w:lineRule="auto" w:before="0" w:after="0"/>
              <w:ind w:left="444" w:right="99" w:hanging="361"/>
              <w:jc w:val="left"/>
              <w:rPr>
                <w:sz w:val="20"/>
              </w:rPr>
            </w:pPr>
            <w:r>
              <w:rPr>
                <w:sz w:val="20"/>
              </w:rPr>
              <w:t>Pobre aplicación adecuada de las metodologías sobre las</w:t>
            </w:r>
            <w:r>
              <w:rPr>
                <w:spacing w:val="-26"/>
                <w:sz w:val="20"/>
              </w:rPr>
              <w:t> </w:t>
            </w:r>
            <w:r>
              <w:rPr>
                <w:sz w:val="20"/>
              </w:rPr>
              <w:t>dimensiones de la Chakana (cruz andina: munay, yachay, ruway, atiy sumaq kawsanapaq).</w:t>
            </w:r>
          </w:p>
          <w:p>
            <w:pPr>
              <w:pStyle w:val="TableParagraph"/>
              <w:numPr>
                <w:ilvl w:val="0"/>
                <w:numId w:val="16"/>
              </w:numPr>
              <w:tabs>
                <w:tab w:pos="445" w:val="left" w:leader="none"/>
              </w:tabs>
              <w:spacing w:line="240" w:lineRule="auto" w:before="0" w:after="0"/>
              <w:ind w:left="444" w:right="583" w:hanging="361"/>
              <w:jc w:val="left"/>
              <w:rPr>
                <w:sz w:val="20"/>
              </w:rPr>
            </w:pPr>
            <w:r>
              <w:rPr>
                <w:sz w:val="20"/>
              </w:rPr>
              <w:t>Falta de docentes asesores, banco de temas de tesis y emprendimientos productivos. Ocasiona falta de interés por los estudiantes para la culminación de sus trabajos de</w:t>
            </w:r>
            <w:r>
              <w:rPr>
                <w:spacing w:val="-21"/>
                <w:sz w:val="20"/>
              </w:rPr>
              <w:t> </w:t>
            </w:r>
            <w:r>
              <w:rPr>
                <w:sz w:val="20"/>
              </w:rPr>
              <w:t>investigación (Tesis y tesinas) y muchas</w:t>
            </w:r>
            <w:r>
              <w:rPr>
                <w:spacing w:val="-5"/>
                <w:sz w:val="20"/>
              </w:rPr>
              <w:t> </w:t>
            </w:r>
            <w:r>
              <w:rPr>
                <w:sz w:val="20"/>
              </w:rPr>
              <w:t>demoras.</w:t>
            </w:r>
          </w:p>
          <w:p>
            <w:pPr>
              <w:pStyle w:val="TableParagraph"/>
              <w:numPr>
                <w:ilvl w:val="0"/>
                <w:numId w:val="16"/>
              </w:numPr>
              <w:tabs>
                <w:tab w:pos="445" w:val="left" w:leader="none"/>
              </w:tabs>
              <w:spacing w:line="240" w:lineRule="auto" w:before="0" w:after="0"/>
              <w:ind w:left="444" w:right="838" w:hanging="361"/>
              <w:jc w:val="left"/>
              <w:rPr>
                <w:sz w:val="20"/>
              </w:rPr>
            </w:pPr>
            <w:r>
              <w:rPr>
                <w:sz w:val="20"/>
              </w:rPr>
              <w:t>La actividad práctica y/o productiva en la parte académica</w:t>
            </w:r>
            <w:r>
              <w:rPr>
                <w:spacing w:val="-24"/>
                <w:sz w:val="20"/>
              </w:rPr>
              <w:t> </w:t>
            </w:r>
            <w:r>
              <w:rPr>
                <w:sz w:val="20"/>
              </w:rPr>
              <w:t>es secundaria y no es objetivamente</w:t>
            </w:r>
            <w:r>
              <w:rPr>
                <w:spacing w:val="-6"/>
                <w:sz w:val="20"/>
              </w:rPr>
              <w:t> </w:t>
            </w:r>
            <w:r>
              <w:rPr>
                <w:sz w:val="20"/>
              </w:rPr>
              <w:t>evaluada.</w:t>
            </w:r>
          </w:p>
          <w:p>
            <w:pPr>
              <w:pStyle w:val="TableParagraph"/>
              <w:numPr>
                <w:ilvl w:val="0"/>
                <w:numId w:val="16"/>
              </w:numPr>
              <w:tabs>
                <w:tab w:pos="445" w:val="left" w:leader="none"/>
              </w:tabs>
              <w:spacing w:line="240" w:lineRule="auto" w:before="0" w:after="0"/>
              <w:ind w:left="444" w:right="602" w:hanging="361"/>
              <w:jc w:val="left"/>
              <w:rPr>
                <w:sz w:val="20"/>
              </w:rPr>
            </w:pPr>
            <w:r>
              <w:rPr>
                <w:sz w:val="20"/>
              </w:rPr>
              <w:t>Escasa cantidad de docentes investigadores. Escasa incentivos</w:t>
            </w:r>
            <w:r>
              <w:rPr>
                <w:spacing w:val="-25"/>
                <w:sz w:val="20"/>
              </w:rPr>
              <w:t> </w:t>
            </w:r>
            <w:r>
              <w:rPr>
                <w:sz w:val="20"/>
              </w:rPr>
              <w:t>a investigaciones y</w:t>
            </w:r>
            <w:r>
              <w:rPr>
                <w:spacing w:val="-2"/>
                <w:sz w:val="20"/>
              </w:rPr>
              <w:t> </w:t>
            </w:r>
            <w:r>
              <w:rPr>
                <w:sz w:val="20"/>
              </w:rPr>
              <w:t>publicaciones.</w:t>
            </w:r>
          </w:p>
          <w:p>
            <w:pPr>
              <w:pStyle w:val="TableParagraph"/>
              <w:numPr>
                <w:ilvl w:val="0"/>
                <w:numId w:val="16"/>
              </w:numPr>
              <w:tabs>
                <w:tab w:pos="445" w:val="left" w:leader="none"/>
              </w:tabs>
              <w:spacing w:line="240" w:lineRule="auto" w:before="0" w:after="0"/>
              <w:ind w:left="444" w:right="908" w:hanging="361"/>
              <w:jc w:val="left"/>
              <w:rPr>
                <w:sz w:val="20"/>
              </w:rPr>
            </w:pPr>
            <w:r>
              <w:rPr>
                <w:sz w:val="20"/>
              </w:rPr>
              <w:t>Falta de hábitos de limpieza, educación ambiental, valores</w:t>
            </w:r>
            <w:r>
              <w:rPr>
                <w:spacing w:val="-20"/>
                <w:sz w:val="20"/>
              </w:rPr>
              <w:t> </w:t>
            </w:r>
            <w:r>
              <w:rPr>
                <w:sz w:val="20"/>
              </w:rPr>
              <w:t>y principios</w:t>
            </w:r>
            <w:r>
              <w:rPr>
                <w:spacing w:val="-3"/>
                <w:sz w:val="20"/>
              </w:rPr>
              <w:t> </w:t>
            </w:r>
            <w:r>
              <w:rPr>
                <w:sz w:val="20"/>
              </w:rPr>
              <w:t>morales.</w:t>
            </w:r>
          </w:p>
          <w:p>
            <w:pPr>
              <w:pStyle w:val="TableParagraph"/>
              <w:numPr>
                <w:ilvl w:val="0"/>
                <w:numId w:val="16"/>
              </w:numPr>
              <w:tabs>
                <w:tab w:pos="445" w:val="left" w:leader="none"/>
              </w:tabs>
              <w:spacing w:line="240" w:lineRule="auto" w:before="1" w:after="0"/>
              <w:ind w:left="444" w:right="120" w:hanging="361"/>
              <w:jc w:val="left"/>
              <w:rPr>
                <w:sz w:val="20"/>
              </w:rPr>
            </w:pPr>
            <w:r>
              <w:rPr>
                <w:sz w:val="20"/>
              </w:rPr>
              <w:t>Estudiantes con poca motivación y consientes del gran beneficio de</w:t>
            </w:r>
            <w:r>
              <w:rPr>
                <w:spacing w:val="-22"/>
                <w:sz w:val="20"/>
              </w:rPr>
              <w:t> </w:t>
            </w:r>
            <w:r>
              <w:rPr>
                <w:sz w:val="20"/>
              </w:rPr>
              <w:t>la beca de estudio en</w:t>
            </w:r>
            <w:r>
              <w:rPr>
                <w:spacing w:val="-2"/>
                <w:sz w:val="20"/>
              </w:rPr>
              <w:t> </w:t>
            </w:r>
            <w:r>
              <w:rPr>
                <w:sz w:val="20"/>
              </w:rPr>
              <w:t>UNIBOL.</w:t>
            </w:r>
          </w:p>
          <w:p>
            <w:pPr>
              <w:pStyle w:val="TableParagraph"/>
              <w:numPr>
                <w:ilvl w:val="0"/>
                <w:numId w:val="16"/>
              </w:numPr>
              <w:tabs>
                <w:tab w:pos="445" w:val="left" w:leader="none"/>
              </w:tabs>
              <w:spacing w:line="240" w:lineRule="auto" w:before="0" w:after="0"/>
              <w:ind w:left="444" w:right="668" w:hanging="361"/>
              <w:jc w:val="left"/>
              <w:rPr>
                <w:sz w:val="20"/>
              </w:rPr>
            </w:pPr>
            <w:r>
              <w:rPr>
                <w:sz w:val="20"/>
              </w:rPr>
              <w:t>Escasa construcción de nuevas pedagogías propias acordes a</w:t>
            </w:r>
            <w:r>
              <w:rPr>
                <w:spacing w:val="-20"/>
                <w:sz w:val="20"/>
              </w:rPr>
              <w:t> </w:t>
            </w:r>
            <w:r>
              <w:rPr>
                <w:sz w:val="20"/>
              </w:rPr>
              <w:t>la filosofía de</w:t>
            </w:r>
            <w:r>
              <w:rPr>
                <w:spacing w:val="-2"/>
                <w:sz w:val="20"/>
              </w:rPr>
              <w:t> </w:t>
            </w:r>
            <w:r>
              <w:rPr>
                <w:sz w:val="20"/>
              </w:rPr>
              <w:t>UNIBOL.</w:t>
            </w:r>
          </w:p>
          <w:p>
            <w:pPr>
              <w:pStyle w:val="TableParagraph"/>
              <w:numPr>
                <w:ilvl w:val="0"/>
                <w:numId w:val="16"/>
              </w:numPr>
              <w:tabs>
                <w:tab w:pos="445" w:val="left" w:leader="none"/>
              </w:tabs>
              <w:spacing w:line="243" w:lineRule="exact" w:before="1" w:after="0"/>
              <w:ind w:left="444" w:right="0" w:hanging="362"/>
              <w:jc w:val="left"/>
              <w:rPr>
                <w:sz w:val="20"/>
              </w:rPr>
            </w:pPr>
            <w:r>
              <w:rPr>
                <w:sz w:val="20"/>
              </w:rPr>
              <w:t>Existe una necesidad de implantar nuevas modalidades de</w:t>
            </w:r>
            <w:r>
              <w:rPr>
                <w:spacing w:val="-18"/>
                <w:sz w:val="20"/>
              </w:rPr>
              <w:t> </w:t>
            </w:r>
            <w:r>
              <w:rPr>
                <w:sz w:val="20"/>
              </w:rPr>
              <w:t>titulación.</w:t>
            </w:r>
          </w:p>
          <w:p>
            <w:pPr>
              <w:pStyle w:val="TableParagraph"/>
              <w:numPr>
                <w:ilvl w:val="0"/>
                <w:numId w:val="16"/>
              </w:numPr>
              <w:tabs>
                <w:tab w:pos="445" w:val="left" w:leader="none"/>
              </w:tabs>
              <w:spacing w:line="243" w:lineRule="exact" w:before="0" w:after="0"/>
              <w:ind w:left="444" w:right="0" w:hanging="362"/>
              <w:jc w:val="left"/>
              <w:rPr>
                <w:sz w:val="20"/>
              </w:rPr>
            </w:pPr>
            <w:r>
              <w:rPr>
                <w:sz w:val="20"/>
              </w:rPr>
              <w:t>Reglamento de graduación débil y ambiguo en su</w:t>
            </w:r>
            <w:r>
              <w:rPr>
                <w:spacing w:val="-6"/>
                <w:sz w:val="20"/>
              </w:rPr>
              <w:t> </w:t>
            </w:r>
            <w:r>
              <w:rPr>
                <w:sz w:val="20"/>
              </w:rPr>
              <w:t>contenido.</w:t>
            </w:r>
          </w:p>
          <w:p>
            <w:pPr>
              <w:pStyle w:val="TableParagraph"/>
              <w:numPr>
                <w:ilvl w:val="0"/>
                <w:numId w:val="16"/>
              </w:numPr>
              <w:tabs>
                <w:tab w:pos="445" w:val="left" w:leader="none"/>
              </w:tabs>
              <w:spacing w:line="240" w:lineRule="auto" w:before="0" w:after="0"/>
              <w:ind w:left="444" w:right="0" w:hanging="362"/>
              <w:jc w:val="left"/>
              <w:rPr>
                <w:sz w:val="20"/>
              </w:rPr>
            </w:pPr>
            <w:r>
              <w:rPr>
                <w:sz w:val="20"/>
              </w:rPr>
              <w:t>Es necesaria una unidad de planificación académica -</w:t>
            </w:r>
            <w:r>
              <w:rPr>
                <w:spacing w:val="-10"/>
                <w:sz w:val="20"/>
              </w:rPr>
              <w:t> </w:t>
            </w:r>
            <w:r>
              <w:rPr>
                <w:sz w:val="20"/>
              </w:rPr>
              <w:t>productiva.</w:t>
            </w:r>
          </w:p>
          <w:p>
            <w:pPr>
              <w:pStyle w:val="TableParagraph"/>
              <w:numPr>
                <w:ilvl w:val="0"/>
                <w:numId w:val="16"/>
              </w:numPr>
              <w:tabs>
                <w:tab w:pos="445" w:val="left" w:leader="none"/>
              </w:tabs>
              <w:spacing w:line="240" w:lineRule="auto" w:before="1" w:after="0"/>
              <w:ind w:left="444" w:right="383" w:hanging="361"/>
              <w:jc w:val="left"/>
              <w:rPr>
                <w:sz w:val="20"/>
              </w:rPr>
            </w:pPr>
            <w:r>
              <w:rPr>
                <w:sz w:val="20"/>
              </w:rPr>
              <w:t>Falta de difusión de la existencia de la UNIBOL a personas de</w:t>
            </w:r>
            <w:r>
              <w:rPr>
                <w:spacing w:val="-24"/>
                <w:sz w:val="20"/>
              </w:rPr>
              <w:t> </w:t>
            </w:r>
            <w:r>
              <w:rPr>
                <w:sz w:val="20"/>
              </w:rPr>
              <w:t>bajos recursos y en comunidades</w:t>
            </w:r>
            <w:r>
              <w:rPr>
                <w:spacing w:val="-4"/>
                <w:sz w:val="20"/>
              </w:rPr>
              <w:t> </w:t>
            </w:r>
            <w:r>
              <w:rPr>
                <w:sz w:val="20"/>
              </w:rPr>
              <w:t>alejadas.</w:t>
            </w:r>
          </w:p>
          <w:p>
            <w:pPr>
              <w:pStyle w:val="TableParagraph"/>
              <w:numPr>
                <w:ilvl w:val="0"/>
                <w:numId w:val="16"/>
              </w:numPr>
              <w:tabs>
                <w:tab w:pos="445" w:val="left" w:leader="none"/>
              </w:tabs>
              <w:spacing w:line="240" w:lineRule="auto" w:before="0" w:after="0"/>
              <w:ind w:left="444" w:right="256" w:hanging="361"/>
              <w:jc w:val="left"/>
              <w:rPr>
                <w:sz w:val="20"/>
              </w:rPr>
            </w:pPr>
            <w:r>
              <w:rPr>
                <w:sz w:val="20"/>
              </w:rPr>
              <w:t>Falta de continuidad de docentes, autoridades, personal administrativos para una buena gestión académica y</w:t>
            </w:r>
            <w:r>
              <w:rPr>
                <w:spacing w:val="-22"/>
                <w:sz w:val="20"/>
              </w:rPr>
              <w:t> </w:t>
            </w:r>
            <w:r>
              <w:rPr>
                <w:sz w:val="20"/>
              </w:rPr>
              <w:t>administrativa.</w:t>
            </w:r>
          </w:p>
          <w:p>
            <w:pPr>
              <w:pStyle w:val="TableParagraph"/>
              <w:numPr>
                <w:ilvl w:val="0"/>
                <w:numId w:val="16"/>
              </w:numPr>
              <w:tabs>
                <w:tab w:pos="445" w:val="left" w:leader="none"/>
              </w:tabs>
              <w:spacing w:line="243" w:lineRule="exact" w:before="0" w:after="0"/>
              <w:ind w:left="444" w:right="0" w:hanging="362"/>
              <w:jc w:val="left"/>
              <w:rPr>
                <w:sz w:val="20"/>
              </w:rPr>
            </w:pPr>
            <w:r>
              <w:rPr>
                <w:sz w:val="20"/>
              </w:rPr>
              <w:t>Escases de docentes provenientes de cultura</w:t>
            </w:r>
            <w:r>
              <w:rPr>
                <w:spacing w:val="-10"/>
                <w:sz w:val="20"/>
              </w:rPr>
              <w:t> </w:t>
            </w:r>
            <w:r>
              <w:rPr>
                <w:sz w:val="20"/>
              </w:rPr>
              <w:t>quechua.</w:t>
            </w:r>
          </w:p>
          <w:p>
            <w:pPr>
              <w:pStyle w:val="TableParagraph"/>
              <w:numPr>
                <w:ilvl w:val="0"/>
                <w:numId w:val="16"/>
              </w:numPr>
              <w:tabs>
                <w:tab w:pos="445" w:val="left" w:leader="none"/>
              </w:tabs>
              <w:spacing w:line="240" w:lineRule="auto" w:before="0" w:after="0"/>
              <w:ind w:left="444" w:right="614" w:hanging="361"/>
              <w:jc w:val="left"/>
              <w:rPr>
                <w:sz w:val="20"/>
              </w:rPr>
            </w:pPr>
            <w:r>
              <w:rPr>
                <w:sz w:val="20"/>
              </w:rPr>
              <w:t>Falta de coordinación estrecha con las organizaciones sociales</w:t>
            </w:r>
            <w:r>
              <w:rPr>
                <w:spacing w:val="-24"/>
                <w:sz w:val="20"/>
              </w:rPr>
              <w:t> </w:t>
            </w:r>
            <w:r>
              <w:rPr>
                <w:sz w:val="20"/>
              </w:rPr>
              <w:t>y entidades</w:t>
            </w:r>
            <w:r>
              <w:rPr>
                <w:spacing w:val="-3"/>
                <w:sz w:val="20"/>
              </w:rPr>
              <w:t> </w:t>
            </w:r>
            <w:r>
              <w:rPr>
                <w:sz w:val="20"/>
              </w:rPr>
              <w:t>estatales.</w:t>
            </w:r>
          </w:p>
          <w:p>
            <w:pPr>
              <w:pStyle w:val="TableParagraph"/>
              <w:numPr>
                <w:ilvl w:val="0"/>
                <w:numId w:val="16"/>
              </w:numPr>
              <w:tabs>
                <w:tab w:pos="445" w:val="left" w:leader="none"/>
              </w:tabs>
              <w:spacing w:line="240" w:lineRule="auto" w:before="1" w:after="0"/>
              <w:ind w:left="444" w:right="0" w:hanging="362"/>
              <w:jc w:val="left"/>
              <w:rPr>
                <w:sz w:val="20"/>
              </w:rPr>
            </w:pPr>
            <w:r>
              <w:rPr>
                <w:sz w:val="20"/>
              </w:rPr>
              <w:t>Falta de alianzas</w:t>
            </w:r>
            <w:r>
              <w:rPr>
                <w:spacing w:val="-4"/>
                <w:sz w:val="20"/>
              </w:rPr>
              <w:t> </w:t>
            </w:r>
            <w:r>
              <w:rPr>
                <w:sz w:val="20"/>
              </w:rPr>
              <w:t>estrategias</w:t>
            </w:r>
          </w:p>
          <w:p>
            <w:pPr>
              <w:pStyle w:val="TableParagraph"/>
              <w:numPr>
                <w:ilvl w:val="0"/>
                <w:numId w:val="16"/>
              </w:numPr>
              <w:tabs>
                <w:tab w:pos="445" w:val="left" w:leader="none"/>
              </w:tabs>
              <w:spacing w:line="240" w:lineRule="auto" w:before="0" w:after="0"/>
              <w:ind w:left="444" w:right="176" w:hanging="361"/>
              <w:jc w:val="left"/>
              <w:rPr>
                <w:sz w:val="20"/>
              </w:rPr>
            </w:pPr>
            <w:r>
              <w:rPr>
                <w:sz w:val="20"/>
              </w:rPr>
              <w:t>Poca articulación a políticas y normativas productivas (PND –</w:t>
            </w:r>
            <w:r>
              <w:rPr>
                <w:spacing w:val="-23"/>
                <w:sz w:val="20"/>
              </w:rPr>
              <w:t> </w:t>
            </w:r>
            <w:r>
              <w:rPr>
                <w:sz w:val="20"/>
              </w:rPr>
              <w:t>Agenda 2020-25).</w:t>
            </w:r>
          </w:p>
          <w:p>
            <w:pPr>
              <w:pStyle w:val="TableParagraph"/>
              <w:numPr>
                <w:ilvl w:val="0"/>
                <w:numId w:val="16"/>
              </w:numPr>
              <w:tabs>
                <w:tab w:pos="445" w:val="left" w:leader="none"/>
              </w:tabs>
              <w:spacing w:line="243" w:lineRule="exact" w:before="0" w:after="0"/>
              <w:ind w:left="444" w:right="0" w:hanging="362"/>
              <w:jc w:val="left"/>
              <w:rPr>
                <w:sz w:val="20"/>
              </w:rPr>
            </w:pPr>
            <w:r>
              <w:rPr>
                <w:sz w:val="20"/>
              </w:rPr>
              <w:t>Graduados con poca inserción en el campo laboral a nivel</w:t>
            </w:r>
            <w:r>
              <w:rPr>
                <w:spacing w:val="-12"/>
                <w:sz w:val="20"/>
              </w:rPr>
              <w:t> </w:t>
            </w:r>
            <w:r>
              <w:rPr>
                <w:sz w:val="20"/>
              </w:rPr>
              <w:t>nacional.</w:t>
            </w:r>
          </w:p>
          <w:p>
            <w:pPr>
              <w:pStyle w:val="TableParagraph"/>
              <w:numPr>
                <w:ilvl w:val="0"/>
                <w:numId w:val="16"/>
              </w:numPr>
              <w:tabs>
                <w:tab w:pos="445" w:val="left" w:leader="none"/>
              </w:tabs>
              <w:spacing w:line="240" w:lineRule="auto" w:before="1" w:after="0"/>
              <w:ind w:left="444" w:right="774" w:hanging="361"/>
              <w:jc w:val="left"/>
              <w:rPr>
                <w:sz w:val="20"/>
              </w:rPr>
            </w:pPr>
            <w:r>
              <w:rPr>
                <w:sz w:val="20"/>
              </w:rPr>
              <w:t>Deficiencia en la asignación de presupuesto financiero para</w:t>
            </w:r>
            <w:r>
              <w:rPr>
                <w:spacing w:val="-23"/>
                <w:sz w:val="20"/>
              </w:rPr>
              <w:t> </w:t>
            </w:r>
            <w:r>
              <w:rPr>
                <w:sz w:val="20"/>
              </w:rPr>
              <w:t>el funcionamiento.</w:t>
            </w:r>
          </w:p>
          <w:p>
            <w:pPr>
              <w:pStyle w:val="TableParagraph"/>
              <w:numPr>
                <w:ilvl w:val="0"/>
                <w:numId w:val="16"/>
              </w:numPr>
              <w:tabs>
                <w:tab w:pos="445" w:val="left" w:leader="none"/>
              </w:tabs>
              <w:spacing w:line="227" w:lineRule="exact" w:before="0" w:after="0"/>
              <w:ind w:left="444" w:right="0" w:hanging="362"/>
              <w:jc w:val="left"/>
              <w:rPr>
                <w:sz w:val="20"/>
              </w:rPr>
            </w:pPr>
            <w:r>
              <w:rPr>
                <w:sz w:val="20"/>
              </w:rPr>
              <w:t>Oferta de carreras insuficiente acorde a las exigencias de</w:t>
            </w:r>
            <w:r>
              <w:rPr>
                <w:spacing w:val="-14"/>
                <w:sz w:val="20"/>
              </w:rPr>
              <w:t> </w:t>
            </w:r>
            <w:r>
              <w:rPr>
                <w:sz w:val="20"/>
              </w:rPr>
              <w:t>las</w:t>
            </w:r>
          </w:p>
        </w:tc>
        <w:tc>
          <w:tcPr>
            <w:tcW w:w="3262" w:type="dxa"/>
          </w:tcPr>
          <w:p>
            <w:pPr>
              <w:pStyle w:val="TableParagraph"/>
              <w:ind w:left="803" w:right="623"/>
              <w:rPr>
                <w:sz w:val="20"/>
              </w:rPr>
            </w:pPr>
            <w:r>
              <w:rPr>
                <w:sz w:val="20"/>
              </w:rPr>
              <w:t>funcionamiento de las UNIBOL.</w:t>
            </w:r>
          </w:p>
          <w:p>
            <w:pPr>
              <w:pStyle w:val="TableParagraph"/>
              <w:numPr>
                <w:ilvl w:val="0"/>
                <w:numId w:val="17"/>
              </w:numPr>
              <w:tabs>
                <w:tab w:pos="804" w:val="left" w:leader="none"/>
              </w:tabs>
              <w:spacing w:line="240" w:lineRule="auto" w:before="0" w:after="0"/>
              <w:ind w:left="803" w:right="97" w:hanging="360"/>
              <w:jc w:val="both"/>
              <w:rPr>
                <w:sz w:val="20"/>
              </w:rPr>
            </w:pPr>
            <w:r>
              <w:rPr>
                <w:sz w:val="20"/>
              </w:rPr>
              <w:t>Permanente competencia</w:t>
            </w:r>
            <w:r>
              <w:rPr>
                <w:spacing w:val="-9"/>
                <w:sz w:val="20"/>
              </w:rPr>
              <w:t> </w:t>
            </w:r>
            <w:r>
              <w:rPr>
                <w:sz w:val="20"/>
              </w:rPr>
              <w:t>de las universidades estatales y privadas.</w:t>
            </w:r>
          </w:p>
          <w:p>
            <w:pPr>
              <w:pStyle w:val="TableParagraph"/>
              <w:numPr>
                <w:ilvl w:val="0"/>
                <w:numId w:val="17"/>
              </w:numPr>
              <w:tabs>
                <w:tab w:pos="441" w:val="left" w:leader="none"/>
                <w:tab w:pos="442" w:val="left" w:leader="none"/>
              </w:tabs>
              <w:spacing w:line="240" w:lineRule="auto" w:before="0" w:after="0"/>
              <w:ind w:left="441" w:right="341" w:hanging="358"/>
              <w:jc w:val="left"/>
              <w:rPr>
                <w:sz w:val="20"/>
              </w:rPr>
            </w:pPr>
            <w:r>
              <w:rPr>
                <w:sz w:val="20"/>
              </w:rPr>
              <w:t>Nivel de formación</w:t>
            </w:r>
            <w:r>
              <w:rPr>
                <w:spacing w:val="-10"/>
                <w:sz w:val="20"/>
              </w:rPr>
              <w:t> </w:t>
            </w:r>
            <w:r>
              <w:rPr>
                <w:sz w:val="20"/>
              </w:rPr>
              <w:t>secundaria muy variable y con muchas deficiencias en áreas</w:t>
            </w:r>
            <w:r>
              <w:rPr>
                <w:spacing w:val="-7"/>
                <w:sz w:val="20"/>
              </w:rPr>
              <w:t> </w:t>
            </w:r>
            <w:r>
              <w:rPr>
                <w:sz w:val="20"/>
              </w:rPr>
              <w:t>exactas.</w:t>
            </w:r>
          </w:p>
          <w:p>
            <w:pPr>
              <w:pStyle w:val="TableParagraph"/>
              <w:numPr>
                <w:ilvl w:val="0"/>
                <w:numId w:val="17"/>
              </w:numPr>
              <w:tabs>
                <w:tab w:pos="441" w:val="left" w:leader="none"/>
                <w:tab w:pos="442" w:val="left" w:leader="none"/>
              </w:tabs>
              <w:spacing w:line="240" w:lineRule="auto" w:before="0" w:after="0"/>
              <w:ind w:left="441" w:right="156" w:hanging="358"/>
              <w:jc w:val="left"/>
              <w:rPr>
                <w:sz w:val="20"/>
              </w:rPr>
            </w:pPr>
            <w:r>
              <w:rPr>
                <w:sz w:val="20"/>
              </w:rPr>
              <w:t>Pérdida de credibilidad institucional y acreditaciones </w:t>
            </w:r>
            <w:r>
              <w:rPr>
                <w:spacing w:val="-6"/>
                <w:sz w:val="20"/>
              </w:rPr>
              <w:t>de </w:t>
            </w:r>
            <w:r>
              <w:rPr>
                <w:sz w:val="20"/>
              </w:rPr>
              <w:t>otras instancias de formación superior</w:t>
            </w:r>
            <w:r>
              <w:rPr>
                <w:spacing w:val="-1"/>
                <w:sz w:val="20"/>
              </w:rPr>
              <w:t> </w:t>
            </w:r>
            <w:r>
              <w:rPr>
                <w:sz w:val="20"/>
              </w:rPr>
              <w:t>(CUB)</w:t>
            </w:r>
          </w:p>
          <w:p>
            <w:pPr>
              <w:pStyle w:val="TableParagraph"/>
              <w:numPr>
                <w:ilvl w:val="0"/>
                <w:numId w:val="17"/>
              </w:numPr>
              <w:tabs>
                <w:tab w:pos="441" w:val="left" w:leader="none"/>
                <w:tab w:pos="442" w:val="left" w:leader="none"/>
              </w:tabs>
              <w:spacing w:line="240" w:lineRule="auto" w:before="0" w:after="0"/>
              <w:ind w:left="441" w:right="787" w:hanging="358"/>
              <w:jc w:val="left"/>
              <w:rPr>
                <w:sz w:val="20"/>
              </w:rPr>
            </w:pPr>
            <w:r>
              <w:rPr>
                <w:sz w:val="20"/>
              </w:rPr>
              <w:t>Distanciamiento con organizaciones sociales </w:t>
            </w:r>
            <w:r>
              <w:rPr>
                <w:spacing w:val="-12"/>
                <w:sz w:val="20"/>
              </w:rPr>
              <w:t>y </w:t>
            </w:r>
            <w:r>
              <w:rPr>
                <w:sz w:val="20"/>
              </w:rPr>
              <w:t>comunidades.</w:t>
            </w:r>
          </w:p>
          <w:p>
            <w:pPr>
              <w:pStyle w:val="TableParagraph"/>
              <w:numPr>
                <w:ilvl w:val="0"/>
                <w:numId w:val="17"/>
              </w:numPr>
              <w:tabs>
                <w:tab w:pos="441" w:val="left" w:leader="none"/>
                <w:tab w:pos="442" w:val="left" w:leader="none"/>
              </w:tabs>
              <w:spacing w:line="240" w:lineRule="auto" w:before="0" w:after="0"/>
              <w:ind w:left="441" w:right="129" w:hanging="358"/>
              <w:jc w:val="left"/>
              <w:rPr>
                <w:sz w:val="20"/>
              </w:rPr>
            </w:pPr>
            <w:r>
              <w:rPr>
                <w:sz w:val="20"/>
              </w:rPr>
              <w:t>Sociedad con prejuicios sociales hacia las universidades</w:t>
            </w:r>
            <w:r>
              <w:rPr>
                <w:spacing w:val="-13"/>
                <w:sz w:val="20"/>
              </w:rPr>
              <w:t> </w:t>
            </w:r>
            <w:r>
              <w:rPr>
                <w:sz w:val="20"/>
              </w:rPr>
              <w:t>indígenas y</w:t>
            </w:r>
            <w:r>
              <w:rPr>
                <w:spacing w:val="-1"/>
                <w:sz w:val="20"/>
              </w:rPr>
              <w:t> </w:t>
            </w:r>
            <w:r>
              <w:rPr>
                <w:sz w:val="20"/>
              </w:rPr>
              <w:t>especiales.</w:t>
            </w:r>
          </w:p>
          <w:p>
            <w:pPr>
              <w:pStyle w:val="TableParagraph"/>
              <w:numPr>
                <w:ilvl w:val="0"/>
                <w:numId w:val="17"/>
              </w:numPr>
              <w:tabs>
                <w:tab w:pos="441" w:val="left" w:leader="none"/>
                <w:tab w:pos="442" w:val="left" w:leader="none"/>
              </w:tabs>
              <w:spacing w:line="240" w:lineRule="auto" w:before="0" w:after="0"/>
              <w:ind w:left="441" w:right="170" w:hanging="358"/>
              <w:jc w:val="left"/>
              <w:rPr>
                <w:sz w:val="20"/>
              </w:rPr>
            </w:pPr>
            <w:r>
              <w:rPr>
                <w:sz w:val="20"/>
              </w:rPr>
              <w:t>Falta de presupuesto financiero para el cumplimiento de metas establecidas en el PND y Agenda 2020-25</w:t>
            </w:r>
          </w:p>
        </w:tc>
      </w:tr>
    </w:tbl>
    <w:p>
      <w:pPr>
        <w:spacing w:after="0" w:line="240" w:lineRule="auto"/>
        <w:jc w:val="left"/>
        <w:rPr>
          <w:sz w:val="20"/>
        </w:rPr>
        <w:sectPr>
          <w:pgSz w:w="11910" w:h="16840"/>
          <w:pgMar w:header="0" w:footer="922" w:top="1400" w:bottom="1120" w:left="620" w:right="280"/>
        </w:sectPr>
      </w:pPr>
    </w:p>
    <w:p>
      <w:pPr>
        <w:pStyle w:val="BodyText"/>
        <w:ind w:left="491"/>
        <w:rPr>
          <w:rFonts w:ascii="Times New Roman"/>
          <w:sz w:val="20"/>
        </w:rPr>
      </w:pPr>
      <w:r>
        <w:rPr>
          <w:rFonts w:ascii="Times New Roman"/>
          <w:sz w:val="20"/>
        </w:rPr>
        <w:pict>
          <v:group style="width:475.3pt;height:74.3pt;mso-position-horizontal-relative:char;mso-position-vertical-relative:line" coordorigin="0,0" coordsize="9506,1486">
            <v:line style="position:absolute" from="10,5" to="6234,5" stroked="true" strokeweight=".48pt" strokecolor="#000000">
              <v:stroke dashstyle="solid"/>
            </v:line>
            <v:line style="position:absolute" from="6244,5" to="9496,5" stroked="true" strokeweight=".48pt" strokecolor="#000000">
              <v:stroke dashstyle="solid"/>
            </v:line>
            <v:line style="position:absolute" from="10,1481" to="6234,1481" stroked="true" strokeweight=".48pt" strokecolor="#000000">
              <v:stroke dashstyle="solid"/>
            </v:line>
            <v:line style="position:absolute" from="6239,0" to="6239,1486" stroked="true" strokeweight=".48001pt" strokecolor="#000000">
              <v:stroke dashstyle="solid"/>
            </v:line>
            <v:line style="position:absolute" from="6244,1481" to="9496,1481" stroked="true" strokeweight=".48pt" strokecolor="#000000">
              <v:stroke dashstyle="solid"/>
            </v:line>
            <v:line style="position:absolute" from="9501,0" to="9501,1486" stroked="true" strokeweight=".48004pt" strokecolor="#000000">
              <v:stroke dashstyle="solid"/>
            </v:line>
            <v:shape style="position:absolute;left:4;top:4;width:6235;height:1477" type="#_x0000_t202" filled="false" stroked="true" strokeweight=".48001pt" strokecolor="#000000">
              <v:textbox inset="0,0,0,0">
                <w:txbxContent>
                  <w:p>
                    <w:pPr>
                      <w:spacing w:line="243" w:lineRule="exact" w:before="2"/>
                      <w:ind w:left="439" w:right="0" w:firstLine="0"/>
                      <w:jc w:val="left"/>
                      <w:rPr>
                        <w:rFonts w:ascii="Calibri"/>
                        <w:sz w:val="20"/>
                      </w:rPr>
                    </w:pPr>
                    <w:r>
                      <w:rPr>
                        <w:rFonts w:ascii="Calibri"/>
                        <w:sz w:val="20"/>
                      </w:rPr>
                      <w:t>comunidades y nuevos bachilleres.</w:t>
                    </w:r>
                  </w:p>
                  <w:p>
                    <w:pPr>
                      <w:numPr>
                        <w:ilvl w:val="0"/>
                        <w:numId w:val="18"/>
                      </w:numPr>
                      <w:tabs>
                        <w:tab w:pos="440" w:val="left" w:leader="none"/>
                      </w:tabs>
                      <w:spacing w:before="0"/>
                      <w:ind w:left="439" w:right="589" w:hanging="361"/>
                      <w:jc w:val="left"/>
                      <w:rPr>
                        <w:rFonts w:ascii="Calibri" w:hAnsi="Calibri"/>
                        <w:sz w:val="20"/>
                      </w:rPr>
                    </w:pPr>
                    <w:r>
                      <w:rPr>
                        <w:rFonts w:ascii="Calibri" w:hAnsi="Calibri"/>
                        <w:sz w:val="20"/>
                      </w:rPr>
                      <w:t>Limitada aplicación de los principios productivos y fundamentos filosóficos de la</w:t>
                    </w:r>
                    <w:r>
                      <w:rPr>
                        <w:rFonts w:ascii="Calibri" w:hAnsi="Calibri"/>
                        <w:spacing w:val="-4"/>
                        <w:sz w:val="20"/>
                      </w:rPr>
                      <w:t> </w:t>
                    </w:r>
                    <w:r>
                      <w:rPr>
                        <w:rFonts w:ascii="Calibri" w:hAnsi="Calibri"/>
                        <w:sz w:val="20"/>
                      </w:rPr>
                      <w:t>UNIBOL.</w:t>
                    </w:r>
                  </w:p>
                  <w:p>
                    <w:pPr>
                      <w:numPr>
                        <w:ilvl w:val="0"/>
                        <w:numId w:val="18"/>
                      </w:numPr>
                      <w:tabs>
                        <w:tab w:pos="440" w:val="left" w:leader="none"/>
                      </w:tabs>
                      <w:spacing w:before="0"/>
                      <w:ind w:left="439" w:right="336" w:hanging="361"/>
                      <w:jc w:val="left"/>
                      <w:rPr>
                        <w:rFonts w:ascii="Calibri" w:hAnsi="Calibri"/>
                        <w:sz w:val="20"/>
                      </w:rPr>
                    </w:pPr>
                    <w:r>
                      <w:rPr>
                        <w:rFonts w:ascii="Calibri" w:hAnsi="Calibri"/>
                        <w:sz w:val="20"/>
                      </w:rPr>
                      <w:t>Docentes con formación limitada en relación a la visión y misión</w:t>
                    </w:r>
                    <w:r>
                      <w:rPr>
                        <w:rFonts w:ascii="Calibri" w:hAnsi="Calibri"/>
                        <w:spacing w:val="-25"/>
                        <w:sz w:val="20"/>
                      </w:rPr>
                      <w:t> </w:t>
                    </w:r>
                    <w:r>
                      <w:rPr>
                        <w:rFonts w:ascii="Calibri" w:hAnsi="Calibri"/>
                        <w:sz w:val="20"/>
                      </w:rPr>
                      <w:t>de las</w:t>
                    </w:r>
                    <w:r>
                      <w:rPr>
                        <w:rFonts w:ascii="Calibri" w:hAnsi="Calibri"/>
                        <w:spacing w:val="-2"/>
                        <w:sz w:val="20"/>
                      </w:rPr>
                      <w:t> </w:t>
                    </w:r>
                    <w:r>
                      <w:rPr>
                        <w:rFonts w:ascii="Calibri" w:hAnsi="Calibri"/>
                        <w:sz w:val="20"/>
                      </w:rPr>
                      <w:t>UNIBOL.</w:t>
                    </w:r>
                  </w:p>
                  <w:p>
                    <w:pPr>
                      <w:numPr>
                        <w:ilvl w:val="0"/>
                        <w:numId w:val="18"/>
                      </w:numPr>
                      <w:tabs>
                        <w:tab w:pos="440" w:val="left" w:leader="none"/>
                      </w:tabs>
                      <w:spacing w:line="243" w:lineRule="exact" w:before="0"/>
                      <w:ind w:left="439" w:right="0" w:hanging="361"/>
                      <w:jc w:val="left"/>
                      <w:rPr>
                        <w:rFonts w:ascii="Calibri"/>
                        <w:sz w:val="20"/>
                      </w:rPr>
                    </w:pPr>
                    <w:r>
                      <w:rPr>
                        <w:rFonts w:ascii="Calibri"/>
                        <w:sz w:val="20"/>
                      </w:rPr>
                      <w:t>Poca estabilidad institucional de las</w:t>
                    </w:r>
                    <w:r>
                      <w:rPr>
                        <w:rFonts w:ascii="Calibri"/>
                        <w:spacing w:val="-2"/>
                        <w:sz w:val="20"/>
                      </w:rPr>
                      <w:t> </w:t>
                    </w:r>
                    <w:r>
                      <w:rPr>
                        <w:rFonts w:ascii="Calibri"/>
                        <w:sz w:val="20"/>
                      </w:rPr>
                      <w:t>UNIBOL.</w:t>
                    </w:r>
                  </w:p>
                </w:txbxContent>
              </v:textbox>
              <v:stroke dashstyle="solid"/>
              <w10:wrap type="none"/>
            </v:shape>
          </v:group>
        </w:pict>
      </w:r>
      <w:r>
        <w:rPr>
          <w:rFonts w:ascii="Times New Roman"/>
          <w:sz w:val="20"/>
        </w:rPr>
      </w:r>
    </w:p>
    <w:p>
      <w:pPr>
        <w:pStyle w:val="BodyText"/>
        <w:rPr>
          <w:rFonts w:ascii="Times New Roman"/>
          <w:b/>
          <w:sz w:val="20"/>
        </w:rPr>
      </w:pPr>
    </w:p>
    <w:p>
      <w:pPr>
        <w:spacing w:before="205"/>
        <w:ind w:left="1082" w:right="0" w:firstLine="0"/>
        <w:jc w:val="left"/>
        <w:rPr>
          <w:rFonts w:ascii="Times New Roman"/>
          <w:b/>
          <w:sz w:val="24"/>
        </w:rPr>
      </w:pPr>
      <w:r>
        <w:rPr>
          <w:rFonts w:ascii="Times New Roman"/>
          <w:b/>
          <w:sz w:val="24"/>
        </w:rPr>
        <w:t>SUB NIVEL ADMINISTRATIVO</w:t>
      </w:r>
    </w:p>
    <w:p>
      <w:pPr>
        <w:pStyle w:val="BodyText"/>
        <w:rPr>
          <w:rFonts w:ascii="Times New Roman"/>
          <w:b/>
          <w:sz w:val="20"/>
        </w:rPr>
      </w:pPr>
    </w:p>
    <w:p>
      <w:pPr>
        <w:pStyle w:val="BodyText"/>
        <w:spacing w:before="2"/>
        <w:rPr>
          <w:rFonts w:ascii="Times New Roman"/>
          <w:b/>
          <w:sz w:val="22"/>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5528"/>
      </w:tblGrid>
      <w:tr>
        <w:trPr>
          <w:trHeight w:val="282" w:hRule="atLeast"/>
        </w:trPr>
        <w:tc>
          <w:tcPr>
            <w:tcW w:w="4107" w:type="dxa"/>
            <w:shd w:val="clear" w:color="auto" w:fill="006FC0"/>
          </w:tcPr>
          <w:p>
            <w:pPr>
              <w:pStyle w:val="TableParagraph"/>
              <w:spacing w:line="263" w:lineRule="exact"/>
              <w:ind w:left="107"/>
              <w:rPr>
                <w:rFonts w:ascii="Arial Black"/>
                <w:sz w:val="20"/>
              </w:rPr>
            </w:pPr>
            <w:r>
              <w:rPr>
                <w:rFonts w:ascii="Arial Black"/>
                <w:color w:val="F1F1F1"/>
                <w:sz w:val="20"/>
              </w:rPr>
              <w:t>Fortalezas</w:t>
            </w:r>
          </w:p>
        </w:tc>
        <w:tc>
          <w:tcPr>
            <w:tcW w:w="5528" w:type="dxa"/>
            <w:shd w:val="clear" w:color="auto" w:fill="006FC0"/>
          </w:tcPr>
          <w:p>
            <w:pPr>
              <w:pStyle w:val="TableParagraph"/>
              <w:spacing w:line="263" w:lineRule="exact"/>
              <w:ind w:left="107"/>
              <w:rPr>
                <w:rFonts w:ascii="Arial Black"/>
                <w:sz w:val="20"/>
              </w:rPr>
            </w:pPr>
            <w:r>
              <w:rPr>
                <w:rFonts w:ascii="Arial Black"/>
                <w:color w:val="F1F1F1"/>
                <w:sz w:val="20"/>
              </w:rPr>
              <w:t>Oportunidades</w:t>
            </w:r>
          </w:p>
        </w:tc>
      </w:tr>
      <w:tr>
        <w:trPr>
          <w:trHeight w:val="244" w:hRule="atLeast"/>
        </w:trPr>
        <w:tc>
          <w:tcPr>
            <w:tcW w:w="4107" w:type="dxa"/>
          </w:tcPr>
          <w:p>
            <w:pPr>
              <w:pStyle w:val="TableParagraph"/>
              <w:rPr>
                <w:rFonts w:ascii="Times New Roman"/>
                <w:sz w:val="16"/>
              </w:rPr>
            </w:pPr>
          </w:p>
        </w:tc>
        <w:tc>
          <w:tcPr>
            <w:tcW w:w="5528" w:type="dxa"/>
          </w:tcPr>
          <w:p>
            <w:pPr>
              <w:pStyle w:val="TableParagraph"/>
              <w:rPr>
                <w:rFonts w:ascii="Times New Roman"/>
                <w:sz w:val="16"/>
              </w:rPr>
            </w:pPr>
          </w:p>
        </w:tc>
      </w:tr>
    </w:tbl>
    <w:p>
      <w:pPr>
        <w:pStyle w:val="BodyText"/>
        <w:spacing w:before="2"/>
        <w:rPr>
          <w:rFonts w:ascii="Times New Roman"/>
          <w:b/>
          <w:sz w:val="22"/>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3"/>
        <w:gridCol w:w="1983"/>
      </w:tblGrid>
      <w:tr>
        <w:trPr>
          <w:trHeight w:val="282" w:hRule="atLeast"/>
        </w:trPr>
        <w:tc>
          <w:tcPr>
            <w:tcW w:w="7653" w:type="dxa"/>
            <w:shd w:val="clear" w:color="auto" w:fill="006FC0"/>
          </w:tcPr>
          <w:p>
            <w:pPr>
              <w:pStyle w:val="TableParagraph"/>
              <w:spacing w:line="263" w:lineRule="exact"/>
              <w:ind w:left="107"/>
              <w:rPr>
                <w:rFonts w:ascii="Arial Black"/>
                <w:sz w:val="20"/>
              </w:rPr>
            </w:pPr>
            <w:r>
              <w:rPr>
                <w:rFonts w:ascii="Arial Black"/>
                <w:color w:val="F1F1F1"/>
                <w:sz w:val="20"/>
              </w:rPr>
              <w:t>Debilidades</w:t>
            </w:r>
          </w:p>
        </w:tc>
        <w:tc>
          <w:tcPr>
            <w:tcW w:w="1983" w:type="dxa"/>
            <w:shd w:val="clear" w:color="auto" w:fill="006FC0"/>
          </w:tcPr>
          <w:p>
            <w:pPr>
              <w:pStyle w:val="TableParagraph"/>
              <w:spacing w:line="263" w:lineRule="exact"/>
              <w:ind w:left="105"/>
              <w:rPr>
                <w:rFonts w:ascii="Arial Black"/>
                <w:sz w:val="20"/>
              </w:rPr>
            </w:pPr>
            <w:r>
              <w:rPr>
                <w:rFonts w:ascii="Arial Black"/>
                <w:color w:val="F1F1F1"/>
                <w:sz w:val="20"/>
              </w:rPr>
              <w:t>Amenazas</w:t>
            </w:r>
          </w:p>
        </w:tc>
      </w:tr>
      <w:tr>
        <w:trPr>
          <w:trHeight w:val="5371" w:hRule="atLeast"/>
        </w:trPr>
        <w:tc>
          <w:tcPr>
            <w:tcW w:w="7653" w:type="dxa"/>
          </w:tcPr>
          <w:p>
            <w:pPr>
              <w:pStyle w:val="TableParagraph"/>
              <w:numPr>
                <w:ilvl w:val="0"/>
                <w:numId w:val="19"/>
              </w:numPr>
              <w:tabs>
                <w:tab w:pos="467" w:val="left" w:leader="none"/>
                <w:tab w:pos="468" w:val="left" w:leader="none"/>
              </w:tabs>
              <w:spacing w:line="240" w:lineRule="auto" w:before="0" w:after="0"/>
              <w:ind w:left="467" w:right="370" w:hanging="360"/>
              <w:jc w:val="left"/>
              <w:rPr>
                <w:sz w:val="20"/>
              </w:rPr>
            </w:pPr>
            <w:r>
              <w:rPr>
                <w:sz w:val="20"/>
              </w:rPr>
              <w:t>Inestabilidad laboral, trunca las posibilidades en investigaciones de corto y</w:t>
            </w:r>
            <w:r>
              <w:rPr>
                <w:spacing w:val="-31"/>
                <w:sz w:val="20"/>
              </w:rPr>
              <w:t> </w:t>
            </w:r>
            <w:r>
              <w:rPr>
                <w:sz w:val="20"/>
              </w:rPr>
              <w:t>mediano plazo.</w:t>
            </w:r>
          </w:p>
          <w:p>
            <w:pPr>
              <w:pStyle w:val="TableParagraph"/>
              <w:numPr>
                <w:ilvl w:val="0"/>
                <w:numId w:val="19"/>
              </w:numPr>
              <w:tabs>
                <w:tab w:pos="467" w:val="left" w:leader="none"/>
                <w:tab w:pos="468" w:val="left" w:leader="none"/>
              </w:tabs>
              <w:spacing w:line="240" w:lineRule="auto" w:before="0" w:after="0"/>
              <w:ind w:left="467" w:right="863" w:hanging="360"/>
              <w:jc w:val="left"/>
              <w:rPr>
                <w:sz w:val="20"/>
              </w:rPr>
            </w:pPr>
            <w:r>
              <w:rPr>
                <w:sz w:val="20"/>
              </w:rPr>
              <w:t>Poca difusión de la Cosmovisión de nuestros pueblos originarios a través de</w:t>
            </w:r>
            <w:r>
              <w:rPr>
                <w:spacing w:val="-31"/>
                <w:sz w:val="20"/>
              </w:rPr>
              <w:t> </w:t>
            </w:r>
            <w:r>
              <w:rPr>
                <w:sz w:val="20"/>
              </w:rPr>
              <w:t>la Universidad a todo el mundo mediante los medios de</w:t>
            </w:r>
            <w:r>
              <w:rPr>
                <w:spacing w:val="-13"/>
                <w:sz w:val="20"/>
              </w:rPr>
              <w:t> </w:t>
            </w:r>
            <w:r>
              <w:rPr>
                <w:sz w:val="20"/>
              </w:rPr>
              <w:t>comunicación.</w:t>
            </w:r>
          </w:p>
          <w:p>
            <w:pPr>
              <w:pStyle w:val="TableParagraph"/>
              <w:numPr>
                <w:ilvl w:val="0"/>
                <w:numId w:val="19"/>
              </w:numPr>
              <w:tabs>
                <w:tab w:pos="467" w:val="left" w:leader="none"/>
                <w:tab w:pos="468" w:val="left" w:leader="none"/>
              </w:tabs>
              <w:spacing w:line="240" w:lineRule="auto" w:before="0" w:after="0"/>
              <w:ind w:left="467" w:right="204" w:hanging="360"/>
              <w:jc w:val="left"/>
              <w:rPr>
                <w:sz w:val="20"/>
              </w:rPr>
            </w:pPr>
            <w:r>
              <w:rPr>
                <w:sz w:val="20"/>
              </w:rPr>
              <w:t>Predisposición del personal para el cumplimiento de normas administrativas</w:t>
            </w:r>
            <w:r>
              <w:rPr>
                <w:spacing w:val="-27"/>
                <w:sz w:val="20"/>
              </w:rPr>
              <w:t> </w:t>
            </w:r>
            <w:r>
              <w:rPr>
                <w:sz w:val="20"/>
              </w:rPr>
              <w:t>vigentes, Desconocimiento e incumplimiento de normas y reglamentos existentes en la institución.</w:t>
            </w:r>
          </w:p>
          <w:p>
            <w:pPr>
              <w:pStyle w:val="TableParagraph"/>
              <w:numPr>
                <w:ilvl w:val="0"/>
                <w:numId w:val="19"/>
              </w:numPr>
              <w:tabs>
                <w:tab w:pos="467" w:val="left" w:leader="none"/>
                <w:tab w:pos="468" w:val="left" w:leader="none"/>
              </w:tabs>
              <w:spacing w:line="244" w:lineRule="exact" w:before="0" w:after="0"/>
              <w:ind w:left="467" w:right="0" w:hanging="361"/>
              <w:jc w:val="left"/>
              <w:rPr>
                <w:sz w:val="20"/>
              </w:rPr>
            </w:pPr>
            <w:r>
              <w:rPr>
                <w:sz w:val="20"/>
              </w:rPr>
              <w:t>Recursos económicos</w:t>
            </w:r>
            <w:r>
              <w:rPr>
                <w:spacing w:val="-5"/>
                <w:sz w:val="20"/>
              </w:rPr>
              <w:t> </w:t>
            </w:r>
            <w:r>
              <w:rPr>
                <w:sz w:val="20"/>
              </w:rPr>
              <w:t>limitados</w:t>
            </w:r>
          </w:p>
          <w:p>
            <w:pPr>
              <w:pStyle w:val="TableParagraph"/>
              <w:numPr>
                <w:ilvl w:val="0"/>
                <w:numId w:val="19"/>
              </w:numPr>
              <w:tabs>
                <w:tab w:pos="467" w:val="left" w:leader="none"/>
                <w:tab w:pos="468" w:val="left" w:leader="none"/>
              </w:tabs>
              <w:spacing w:line="240" w:lineRule="auto" w:before="0" w:after="0"/>
              <w:ind w:left="467" w:right="0" w:hanging="361"/>
              <w:jc w:val="left"/>
              <w:rPr>
                <w:sz w:val="20"/>
              </w:rPr>
            </w:pPr>
            <w:r>
              <w:rPr>
                <w:sz w:val="20"/>
              </w:rPr>
              <w:t>materiales e insumos insuficientes para trabajos</w:t>
            </w:r>
            <w:r>
              <w:rPr>
                <w:spacing w:val="-11"/>
                <w:sz w:val="20"/>
              </w:rPr>
              <w:t> </w:t>
            </w:r>
            <w:r>
              <w:rPr>
                <w:sz w:val="20"/>
              </w:rPr>
              <w:t>académicos.</w:t>
            </w:r>
          </w:p>
          <w:p>
            <w:pPr>
              <w:pStyle w:val="TableParagraph"/>
              <w:numPr>
                <w:ilvl w:val="0"/>
                <w:numId w:val="19"/>
              </w:numPr>
              <w:tabs>
                <w:tab w:pos="467" w:val="left" w:leader="none"/>
                <w:tab w:pos="468" w:val="left" w:leader="none"/>
              </w:tabs>
              <w:spacing w:line="240" w:lineRule="auto" w:before="0" w:after="0"/>
              <w:ind w:left="467" w:right="705" w:hanging="360"/>
              <w:jc w:val="left"/>
              <w:rPr>
                <w:sz w:val="20"/>
              </w:rPr>
            </w:pPr>
            <w:r>
              <w:rPr>
                <w:sz w:val="20"/>
              </w:rPr>
              <w:t>Dieta alimenticia no acorde al esfuerzo intelectual. Falta de capacitación para</w:t>
            </w:r>
            <w:r>
              <w:rPr>
                <w:spacing w:val="-22"/>
                <w:sz w:val="20"/>
              </w:rPr>
              <w:t> </w:t>
            </w:r>
            <w:r>
              <w:rPr>
                <w:sz w:val="20"/>
              </w:rPr>
              <w:t>el mejoramiento en cuanto a las condiciones de salubridad y manipulación de los alimentos al personal de</w:t>
            </w:r>
            <w:r>
              <w:rPr>
                <w:spacing w:val="-4"/>
                <w:sz w:val="20"/>
              </w:rPr>
              <w:t> </w:t>
            </w:r>
            <w:r>
              <w:rPr>
                <w:sz w:val="20"/>
              </w:rPr>
              <w:t>cocina</w:t>
            </w:r>
          </w:p>
          <w:p>
            <w:pPr>
              <w:pStyle w:val="TableParagraph"/>
              <w:numPr>
                <w:ilvl w:val="0"/>
                <w:numId w:val="19"/>
              </w:numPr>
              <w:tabs>
                <w:tab w:pos="467" w:val="left" w:leader="none"/>
                <w:tab w:pos="468" w:val="left" w:leader="none"/>
              </w:tabs>
              <w:spacing w:line="240" w:lineRule="auto" w:before="0" w:after="0"/>
              <w:ind w:left="467" w:right="835" w:hanging="360"/>
              <w:jc w:val="left"/>
              <w:rPr>
                <w:sz w:val="20"/>
              </w:rPr>
            </w:pPr>
            <w:r>
              <w:rPr>
                <w:sz w:val="20"/>
              </w:rPr>
              <w:t>Falta de equipos de protección eléctrica para tormentas y descargas</w:t>
            </w:r>
            <w:r>
              <w:rPr>
                <w:spacing w:val="-29"/>
                <w:sz w:val="20"/>
              </w:rPr>
              <w:t> </w:t>
            </w:r>
            <w:r>
              <w:rPr>
                <w:sz w:val="20"/>
              </w:rPr>
              <w:t>eléctricas (truenos).</w:t>
            </w:r>
          </w:p>
          <w:p>
            <w:pPr>
              <w:pStyle w:val="TableParagraph"/>
              <w:numPr>
                <w:ilvl w:val="0"/>
                <w:numId w:val="19"/>
              </w:numPr>
              <w:tabs>
                <w:tab w:pos="467" w:val="left" w:leader="none"/>
                <w:tab w:pos="468" w:val="left" w:leader="none"/>
              </w:tabs>
              <w:spacing w:line="240" w:lineRule="auto" w:before="0" w:after="0"/>
              <w:ind w:left="467" w:right="220" w:hanging="360"/>
              <w:jc w:val="left"/>
              <w:rPr>
                <w:sz w:val="20"/>
              </w:rPr>
            </w:pPr>
            <w:r>
              <w:rPr>
                <w:sz w:val="20"/>
              </w:rPr>
              <w:t>Acefalias en cargos administrativos, por ejemplo técnicos informáticos,</w:t>
            </w:r>
            <w:r>
              <w:rPr>
                <w:spacing w:val="-32"/>
                <w:sz w:val="20"/>
              </w:rPr>
              <w:t> </w:t>
            </w:r>
            <w:r>
              <w:rPr>
                <w:sz w:val="20"/>
              </w:rPr>
              <w:t>nutricionistas, cocineros,</w:t>
            </w:r>
            <w:r>
              <w:rPr>
                <w:spacing w:val="2"/>
                <w:sz w:val="20"/>
              </w:rPr>
              <w:t> </w:t>
            </w:r>
            <w:r>
              <w:rPr>
                <w:sz w:val="20"/>
              </w:rPr>
              <w:t>etc.</w:t>
            </w:r>
          </w:p>
          <w:p>
            <w:pPr>
              <w:pStyle w:val="TableParagraph"/>
              <w:numPr>
                <w:ilvl w:val="0"/>
                <w:numId w:val="19"/>
              </w:numPr>
              <w:tabs>
                <w:tab w:pos="467" w:val="left" w:leader="none"/>
                <w:tab w:pos="468" w:val="left" w:leader="none"/>
              </w:tabs>
              <w:spacing w:line="243" w:lineRule="exact" w:before="0" w:after="0"/>
              <w:ind w:left="467" w:right="0" w:hanging="361"/>
              <w:jc w:val="left"/>
              <w:rPr>
                <w:sz w:val="20"/>
              </w:rPr>
            </w:pPr>
            <w:r>
              <w:rPr>
                <w:sz w:val="20"/>
              </w:rPr>
              <w:t>La atención en salud solo es</w:t>
            </w:r>
            <w:r>
              <w:rPr>
                <w:spacing w:val="-4"/>
                <w:sz w:val="20"/>
              </w:rPr>
              <w:t> </w:t>
            </w:r>
            <w:r>
              <w:rPr>
                <w:sz w:val="20"/>
              </w:rPr>
              <w:t>preventiva</w:t>
            </w:r>
          </w:p>
          <w:p>
            <w:pPr>
              <w:pStyle w:val="TableParagraph"/>
              <w:numPr>
                <w:ilvl w:val="0"/>
                <w:numId w:val="19"/>
              </w:numPr>
              <w:tabs>
                <w:tab w:pos="468" w:val="left" w:leader="none"/>
              </w:tabs>
              <w:spacing w:line="240" w:lineRule="auto" w:before="0" w:after="0"/>
              <w:ind w:left="467" w:right="458" w:hanging="360"/>
              <w:jc w:val="left"/>
              <w:rPr>
                <w:sz w:val="20"/>
              </w:rPr>
            </w:pPr>
            <w:r>
              <w:rPr>
                <w:sz w:val="20"/>
              </w:rPr>
              <w:t>Falta de información y talleres sobre la salud sexual- reproductiva y prevención de enfermedades</w:t>
            </w:r>
          </w:p>
          <w:p>
            <w:pPr>
              <w:pStyle w:val="TableParagraph"/>
              <w:numPr>
                <w:ilvl w:val="0"/>
                <w:numId w:val="19"/>
              </w:numPr>
              <w:tabs>
                <w:tab w:pos="468" w:val="left" w:leader="none"/>
              </w:tabs>
              <w:spacing w:line="240" w:lineRule="auto" w:before="1" w:after="0"/>
              <w:ind w:left="467" w:right="0" w:hanging="361"/>
              <w:jc w:val="left"/>
              <w:rPr>
                <w:sz w:val="20"/>
              </w:rPr>
            </w:pPr>
            <w:r>
              <w:rPr>
                <w:sz w:val="20"/>
              </w:rPr>
              <w:t>Excesivos niveles e instancias de aprobación</w:t>
            </w:r>
            <w:r>
              <w:rPr>
                <w:spacing w:val="-7"/>
                <w:sz w:val="20"/>
              </w:rPr>
              <w:t> </w:t>
            </w:r>
            <w:r>
              <w:rPr>
                <w:sz w:val="20"/>
              </w:rPr>
              <w:t>burocrática</w:t>
            </w:r>
          </w:p>
          <w:p>
            <w:pPr>
              <w:pStyle w:val="TableParagraph"/>
              <w:numPr>
                <w:ilvl w:val="0"/>
                <w:numId w:val="19"/>
              </w:numPr>
              <w:tabs>
                <w:tab w:pos="468" w:val="left" w:leader="none"/>
              </w:tabs>
              <w:spacing w:line="243" w:lineRule="exact" w:before="1" w:after="0"/>
              <w:ind w:left="467" w:right="0" w:hanging="361"/>
              <w:jc w:val="left"/>
              <w:rPr>
                <w:sz w:val="20"/>
              </w:rPr>
            </w:pPr>
            <w:r>
              <w:rPr>
                <w:sz w:val="20"/>
              </w:rPr>
              <w:t>No se hace un uso adecuado de las herramientas, equipos y</w:t>
            </w:r>
            <w:r>
              <w:rPr>
                <w:spacing w:val="-12"/>
                <w:sz w:val="20"/>
              </w:rPr>
              <w:t> </w:t>
            </w:r>
            <w:r>
              <w:rPr>
                <w:sz w:val="20"/>
              </w:rPr>
              <w:t>maquinarias.</w:t>
            </w:r>
          </w:p>
          <w:p>
            <w:pPr>
              <w:pStyle w:val="TableParagraph"/>
              <w:numPr>
                <w:ilvl w:val="0"/>
                <w:numId w:val="19"/>
              </w:numPr>
              <w:tabs>
                <w:tab w:pos="468" w:val="left" w:leader="none"/>
              </w:tabs>
              <w:spacing w:line="225" w:lineRule="exact" w:before="0" w:after="0"/>
              <w:ind w:left="467" w:right="0" w:hanging="361"/>
              <w:jc w:val="left"/>
              <w:rPr>
                <w:sz w:val="20"/>
              </w:rPr>
            </w:pPr>
            <w:r>
              <w:rPr>
                <w:sz w:val="20"/>
              </w:rPr>
              <w:t>Falta de capacitación del personal en administración pública y en su área</w:t>
            </w:r>
            <w:r>
              <w:rPr>
                <w:spacing w:val="-19"/>
                <w:sz w:val="20"/>
              </w:rPr>
              <w:t> </w:t>
            </w:r>
            <w:r>
              <w:rPr>
                <w:sz w:val="20"/>
              </w:rPr>
              <w:t>específica</w:t>
            </w:r>
          </w:p>
        </w:tc>
        <w:tc>
          <w:tcPr>
            <w:tcW w:w="1983" w:type="dxa"/>
          </w:tcPr>
          <w:p>
            <w:pPr>
              <w:pStyle w:val="TableParagraph"/>
              <w:rPr>
                <w:rFonts w:ascii="Times New Roman"/>
                <w:sz w:val="18"/>
              </w:rPr>
            </w:pPr>
          </w:p>
        </w:tc>
      </w:tr>
    </w:tbl>
    <w:p>
      <w:pPr>
        <w:spacing w:after="0"/>
        <w:rPr>
          <w:rFonts w:ascii="Times New Roman"/>
          <w:sz w:val="18"/>
        </w:rPr>
        <w:sectPr>
          <w:pgSz w:w="11910" w:h="16840"/>
          <w:pgMar w:header="0" w:footer="922" w:top="1400" w:bottom="1120" w:left="620" w:right="280"/>
        </w:sectPr>
      </w:pPr>
    </w:p>
    <w:p>
      <w:pPr>
        <w:spacing w:before="90" w:after="4"/>
        <w:ind w:left="1082" w:right="0" w:firstLine="0"/>
        <w:jc w:val="left"/>
        <w:rPr>
          <w:rFonts w:ascii="Times New Roman" w:hAnsi="Times New Roman"/>
          <w:b/>
          <w:sz w:val="24"/>
        </w:rPr>
      </w:pPr>
      <w:r>
        <w:rPr>
          <w:rFonts w:ascii="Times New Roman" w:hAnsi="Times New Roman"/>
          <w:b/>
          <w:sz w:val="24"/>
        </w:rPr>
        <w:t>Sub Nivel Producción E Investigación</w:t>
      </w: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75"/>
        <w:gridCol w:w="3259"/>
      </w:tblGrid>
      <w:tr>
        <w:trPr>
          <w:trHeight w:val="340" w:hRule="atLeast"/>
        </w:trPr>
        <w:tc>
          <w:tcPr>
            <w:tcW w:w="6375" w:type="dxa"/>
            <w:shd w:val="clear" w:color="auto" w:fill="006FC0"/>
          </w:tcPr>
          <w:p>
            <w:pPr>
              <w:pStyle w:val="TableParagraph"/>
              <w:spacing w:line="318" w:lineRule="exact" w:before="2"/>
              <w:ind w:left="107"/>
              <w:rPr>
                <w:rFonts w:ascii="Arial Black"/>
                <w:sz w:val="24"/>
              </w:rPr>
            </w:pPr>
            <w:r>
              <w:rPr>
                <w:rFonts w:ascii="Arial Black"/>
                <w:color w:val="F1F1F1"/>
                <w:sz w:val="24"/>
              </w:rPr>
              <w:t>Fortalezas</w:t>
            </w:r>
          </w:p>
        </w:tc>
        <w:tc>
          <w:tcPr>
            <w:tcW w:w="3259" w:type="dxa"/>
            <w:shd w:val="clear" w:color="auto" w:fill="006FC0"/>
          </w:tcPr>
          <w:p>
            <w:pPr>
              <w:pStyle w:val="TableParagraph"/>
              <w:spacing w:line="318" w:lineRule="exact" w:before="2"/>
              <w:ind w:left="108"/>
              <w:rPr>
                <w:rFonts w:ascii="Arial Black"/>
                <w:sz w:val="24"/>
              </w:rPr>
            </w:pPr>
            <w:r>
              <w:rPr>
                <w:rFonts w:ascii="Arial Black"/>
                <w:color w:val="F1F1F1"/>
                <w:sz w:val="24"/>
              </w:rPr>
              <w:t>Oportunidades</w:t>
            </w:r>
          </w:p>
        </w:tc>
      </w:tr>
      <w:tr>
        <w:trPr>
          <w:trHeight w:val="7080" w:hRule="atLeast"/>
        </w:trPr>
        <w:tc>
          <w:tcPr>
            <w:tcW w:w="6375" w:type="dxa"/>
          </w:tcPr>
          <w:p>
            <w:pPr>
              <w:pStyle w:val="TableParagraph"/>
              <w:numPr>
                <w:ilvl w:val="0"/>
                <w:numId w:val="20"/>
              </w:numPr>
              <w:tabs>
                <w:tab w:pos="467" w:val="left" w:leader="none"/>
                <w:tab w:pos="468" w:val="left" w:leader="none"/>
              </w:tabs>
              <w:spacing w:line="242" w:lineRule="exact" w:before="0" w:after="0"/>
              <w:ind w:left="467" w:right="0" w:hanging="361"/>
              <w:jc w:val="left"/>
              <w:rPr>
                <w:sz w:val="20"/>
              </w:rPr>
            </w:pPr>
            <w:r>
              <w:rPr>
                <w:sz w:val="20"/>
              </w:rPr>
              <w:t>Se cuenta con módulos productivos en las cuatro</w:t>
            </w:r>
            <w:r>
              <w:rPr>
                <w:spacing w:val="-9"/>
                <w:sz w:val="20"/>
              </w:rPr>
              <w:t> </w:t>
            </w:r>
            <w:r>
              <w:rPr>
                <w:sz w:val="20"/>
              </w:rPr>
              <w:t>carreras.</w:t>
            </w:r>
          </w:p>
          <w:p>
            <w:pPr>
              <w:pStyle w:val="TableParagraph"/>
              <w:numPr>
                <w:ilvl w:val="0"/>
                <w:numId w:val="20"/>
              </w:numPr>
              <w:tabs>
                <w:tab w:pos="467" w:val="left" w:leader="none"/>
                <w:tab w:pos="468" w:val="left" w:leader="none"/>
              </w:tabs>
              <w:spacing w:line="240" w:lineRule="auto" w:before="0" w:after="0"/>
              <w:ind w:left="467" w:right="404" w:hanging="360"/>
              <w:jc w:val="left"/>
              <w:rPr>
                <w:sz w:val="20"/>
              </w:rPr>
            </w:pPr>
            <w:r>
              <w:rPr>
                <w:sz w:val="20"/>
              </w:rPr>
              <w:t>La universidad cuenta con un plantel docente multidisciplinario que posibilita la proyección de proyectos productivos según el requerimiento de la diversidad de estudiantes que emergen del contexto de la nación</w:t>
            </w:r>
            <w:r>
              <w:rPr>
                <w:spacing w:val="-2"/>
                <w:sz w:val="20"/>
              </w:rPr>
              <w:t> </w:t>
            </w:r>
            <w:r>
              <w:rPr>
                <w:sz w:val="20"/>
              </w:rPr>
              <w:t>quechua.</w:t>
            </w:r>
          </w:p>
          <w:p>
            <w:pPr>
              <w:pStyle w:val="TableParagraph"/>
              <w:numPr>
                <w:ilvl w:val="0"/>
                <w:numId w:val="20"/>
              </w:numPr>
              <w:tabs>
                <w:tab w:pos="467" w:val="left" w:leader="none"/>
                <w:tab w:pos="468" w:val="left" w:leader="none"/>
              </w:tabs>
              <w:spacing w:line="240" w:lineRule="auto" w:before="0" w:after="0"/>
              <w:ind w:left="467" w:right="312" w:hanging="360"/>
              <w:jc w:val="left"/>
              <w:rPr>
                <w:sz w:val="20"/>
              </w:rPr>
            </w:pPr>
            <w:r>
              <w:rPr>
                <w:sz w:val="20"/>
              </w:rPr>
              <w:t>Se cuenta con un área de lengua y cultura quechua lo cual permite</w:t>
            </w:r>
            <w:r>
              <w:rPr>
                <w:spacing w:val="-24"/>
                <w:sz w:val="20"/>
              </w:rPr>
              <w:t> </w:t>
            </w:r>
            <w:r>
              <w:rPr>
                <w:sz w:val="20"/>
              </w:rPr>
              <w:t>la producción de conocimientos basado en los saberes y prácticas culturales</w:t>
            </w:r>
            <w:r>
              <w:rPr>
                <w:spacing w:val="-3"/>
                <w:sz w:val="20"/>
              </w:rPr>
              <w:t> </w:t>
            </w:r>
            <w:r>
              <w:rPr>
                <w:sz w:val="20"/>
              </w:rPr>
              <w:t>quechuas.</w:t>
            </w:r>
          </w:p>
          <w:p>
            <w:pPr>
              <w:pStyle w:val="TableParagraph"/>
              <w:numPr>
                <w:ilvl w:val="0"/>
                <w:numId w:val="20"/>
              </w:numPr>
              <w:tabs>
                <w:tab w:pos="467" w:val="left" w:leader="none"/>
                <w:tab w:pos="468" w:val="left" w:leader="none"/>
              </w:tabs>
              <w:spacing w:line="240" w:lineRule="auto" w:before="1" w:after="0"/>
              <w:ind w:left="467" w:right="805" w:hanging="360"/>
              <w:jc w:val="left"/>
              <w:rPr>
                <w:sz w:val="20"/>
              </w:rPr>
            </w:pPr>
            <w:r>
              <w:rPr>
                <w:sz w:val="20"/>
              </w:rPr>
              <w:t>La universidad forma gestores productivos con pertinencia y coherencia con los principios y políticas productivas del estado plurinacional.</w:t>
            </w:r>
          </w:p>
          <w:p>
            <w:pPr>
              <w:pStyle w:val="TableParagraph"/>
              <w:numPr>
                <w:ilvl w:val="0"/>
                <w:numId w:val="20"/>
              </w:numPr>
              <w:tabs>
                <w:tab w:pos="467" w:val="left" w:leader="none"/>
                <w:tab w:pos="468" w:val="left" w:leader="none"/>
              </w:tabs>
              <w:spacing w:line="240" w:lineRule="auto" w:before="0" w:after="0"/>
              <w:ind w:left="467" w:right="300" w:hanging="360"/>
              <w:jc w:val="left"/>
              <w:rPr>
                <w:sz w:val="20"/>
              </w:rPr>
            </w:pPr>
            <w:r>
              <w:rPr>
                <w:sz w:val="20"/>
              </w:rPr>
              <w:t>La universidad fomenta y promueve desde la enseñanza</w:t>
            </w:r>
            <w:r>
              <w:rPr>
                <w:spacing w:val="-23"/>
                <w:sz w:val="20"/>
              </w:rPr>
              <w:t> </w:t>
            </w:r>
            <w:r>
              <w:rPr>
                <w:sz w:val="20"/>
              </w:rPr>
              <w:t>aprendizaje, proyectos de emprendimiento productivos para la consolidación del modelo socio comunitario productivo.</w:t>
            </w:r>
          </w:p>
          <w:p>
            <w:pPr>
              <w:pStyle w:val="TableParagraph"/>
              <w:numPr>
                <w:ilvl w:val="0"/>
                <w:numId w:val="20"/>
              </w:numPr>
              <w:tabs>
                <w:tab w:pos="467" w:val="left" w:leader="none"/>
                <w:tab w:pos="468" w:val="left" w:leader="none"/>
              </w:tabs>
              <w:spacing w:line="240" w:lineRule="auto" w:before="0" w:after="0"/>
              <w:ind w:left="467" w:right="200" w:hanging="360"/>
              <w:jc w:val="left"/>
              <w:rPr>
                <w:sz w:val="20"/>
              </w:rPr>
            </w:pPr>
            <w:r>
              <w:rPr>
                <w:sz w:val="20"/>
              </w:rPr>
              <w:t>La universidad cuenta con recursos económicos para realizar</w:t>
            </w:r>
            <w:r>
              <w:rPr>
                <w:spacing w:val="-23"/>
                <w:sz w:val="20"/>
              </w:rPr>
              <w:t> </w:t>
            </w:r>
            <w:r>
              <w:rPr>
                <w:sz w:val="20"/>
              </w:rPr>
              <w:t>procesos de investigación, sistematización y difusión sobre revalorización, revitalización de los saberes, conocimientos, tecnología, ciencia y lengua de la nación</w:t>
            </w:r>
            <w:r>
              <w:rPr>
                <w:spacing w:val="-2"/>
                <w:sz w:val="20"/>
              </w:rPr>
              <w:t> </w:t>
            </w:r>
            <w:r>
              <w:rPr>
                <w:sz w:val="20"/>
              </w:rPr>
              <w:t>quechua.</w:t>
            </w:r>
          </w:p>
          <w:p>
            <w:pPr>
              <w:pStyle w:val="TableParagraph"/>
              <w:numPr>
                <w:ilvl w:val="0"/>
                <w:numId w:val="20"/>
              </w:numPr>
              <w:tabs>
                <w:tab w:pos="467" w:val="left" w:leader="none"/>
                <w:tab w:pos="468" w:val="left" w:leader="none"/>
              </w:tabs>
              <w:spacing w:line="240" w:lineRule="auto" w:before="0" w:after="0"/>
              <w:ind w:left="467" w:right="540" w:hanging="360"/>
              <w:jc w:val="left"/>
              <w:rPr>
                <w:sz w:val="20"/>
              </w:rPr>
            </w:pPr>
            <w:r>
              <w:rPr>
                <w:sz w:val="20"/>
              </w:rPr>
              <w:t>La universidad cuenta con una dirección y responsables de investigación por carrera, para la innovación en diferentes áreas</w:t>
            </w:r>
            <w:r>
              <w:rPr>
                <w:spacing w:val="-24"/>
                <w:sz w:val="20"/>
              </w:rPr>
              <w:t> </w:t>
            </w:r>
            <w:r>
              <w:rPr>
                <w:sz w:val="20"/>
              </w:rPr>
              <w:t>o campos que fortalezcan la formación académica de la UNIBOL Quechua.</w:t>
            </w:r>
          </w:p>
          <w:p>
            <w:pPr>
              <w:pStyle w:val="TableParagraph"/>
              <w:numPr>
                <w:ilvl w:val="0"/>
                <w:numId w:val="20"/>
              </w:numPr>
              <w:tabs>
                <w:tab w:pos="468" w:val="left" w:leader="none"/>
              </w:tabs>
              <w:spacing w:line="240" w:lineRule="auto" w:before="0" w:after="0"/>
              <w:ind w:left="467" w:right="617" w:hanging="360"/>
              <w:jc w:val="both"/>
              <w:rPr>
                <w:sz w:val="20"/>
              </w:rPr>
            </w:pPr>
            <w:r>
              <w:rPr>
                <w:sz w:val="20"/>
              </w:rPr>
              <w:t>La política educativa de la universidad fomenta la elaboración de investigaciones de pre grado y post grado en la lengua indígena</w:t>
            </w:r>
            <w:r>
              <w:rPr>
                <w:spacing w:val="-23"/>
                <w:sz w:val="20"/>
              </w:rPr>
              <w:t> </w:t>
            </w:r>
            <w:r>
              <w:rPr>
                <w:sz w:val="20"/>
              </w:rPr>
              <w:t>y convencional.</w:t>
            </w:r>
          </w:p>
          <w:p>
            <w:pPr>
              <w:pStyle w:val="TableParagraph"/>
              <w:numPr>
                <w:ilvl w:val="0"/>
                <w:numId w:val="20"/>
              </w:numPr>
              <w:tabs>
                <w:tab w:pos="468" w:val="left" w:leader="none"/>
              </w:tabs>
              <w:spacing w:line="240" w:lineRule="auto" w:before="0" w:after="0"/>
              <w:ind w:left="467" w:right="606" w:hanging="360"/>
              <w:jc w:val="both"/>
              <w:rPr>
                <w:sz w:val="20"/>
              </w:rPr>
            </w:pPr>
            <w:r>
              <w:rPr>
                <w:sz w:val="20"/>
              </w:rPr>
              <w:t>Cuenta con predios y ambientes para realizar investigación en</w:t>
            </w:r>
            <w:r>
              <w:rPr>
                <w:spacing w:val="-21"/>
                <w:sz w:val="20"/>
              </w:rPr>
              <w:t> </w:t>
            </w:r>
            <w:r>
              <w:rPr>
                <w:sz w:val="20"/>
              </w:rPr>
              <w:t>las diferentes carreras</w:t>
            </w:r>
            <w:r>
              <w:rPr>
                <w:spacing w:val="-5"/>
                <w:sz w:val="20"/>
              </w:rPr>
              <w:t> </w:t>
            </w:r>
            <w:r>
              <w:rPr>
                <w:sz w:val="20"/>
              </w:rPr>
              <w:t>productivas.</w:t>
            </w:r>
          </w:p>
          <w:p>
            <w:pPr>
              <w:pStyle w:val="TableParagraph"/>
              <w:numPr>
                <w:ilvl w:val="0"/>
                <w:numId w:val="20"/>
              </w:numPr>
              <w:tabs>
                <w:tab w:pos="468" w:val="left" w:leader="none"/>
              </w:tabs>
              <w:spacing w:line="243" w:lineRule="exact" w:before="0" w:after="0"/>
              <w:ind w:left="467" w:right="0" w:hanging="361"/>
              <w:jc w:val="both"/>
              <w:rPr>
                <w:sz w:val="20"/>
              </w:rPr>
            </w:pPr>
            <w:r>
              <w:rPr>
                <w:sz w:val="20"/>
              </w:rPr>
              <w:t>Se cuenta con una dirección de pos grado que impulsa la formación</w:t>
            </w:r>
            <w:r>
              <w:rPr>
                <w:spacing w:val="-22"/>
                <w:sz w:val="20"/>
              </w:rPr>
              <w:t> </w:t>
            </w:r>
            <w:r>
              <w:rPr>
                <w:sz w:val="20"/>
              </w:rPr>
              <w:t>de</w:t>
            </w:r>
          </w:p>
          <w:p>
            <w:pPr>
              <w:pStyle w:val="TableParagraph"/>
              <w:spacing w:line="225" w:lineRule="exact" w:before="1"/>
              <w:ind w:left="467"/>
              <w:jc w:val="both"/>
              <w:rPr>
                <w:sz w:val="20"/>
              </w:rPr>
            </w:pPr>
            <w:r>
              <w:rPr>
                <w:sz w:val="20"/>
              </w:rPr>
              <w:t>investigadores productivos.</w:t>
            </w:r>
          </w:p>
        </w:tc>
        <w:tc>
          <w:tcPr>
            <w:tcW w:w="3259" w:type="dxa"/>
          </w:tcPr>
          <w:p>
            <w:pPr>
              <w:pStyle w:val="TableParagraph"/>
              <w:numPr>
                <w:ilvl w:val="0"/>
                <w:numId w:val="21"/>
              </w:numPr>
              <w:tabs>
                <w:tab w:pos="468" w:val="left" w:leader="none"/>
                <w:tab w:pos="469" w:val="left" w:leader="none"/>
              </w:tabs>
              <w:spacing w:line="240" w:lineRule="auto" w:before="0" w:after="0"/>
              <w:ind w:left="468" w:right="180" w:hanging="360"/>
              <w:jc w:val="left"/>
              <w:rPr>
                <w:sz w:val="20"/>
              </w:rPr>
            </w:pPr>
            <w:r>
              <w:rPr>
                <w:sz w:val="20"/>
              </w:rPr>
              <w:t>La constitución política del estado, Ley 144, 269, 070, 1333 y otras, favorecen la investigación y producción en</w:t>
            </w:r>
            <w:r>
              <w:rPr>
                <w:spacing w:val="-11"/>
                <w:sz w:val="20"/>
              </w:rPr>
              <w:t> </w:t>
            </w:r>
            <w:r>
              <w:rPr>
                <w:sz w:val="20"/>
              </w:rPr>
              <w:t>el que hacer educativo de la UNIBOL</w:t>
            </w:r>
            <w:r>
              <w:rPr>
                <w:spacing w:val="-1"/>
                <w:sz w:val="20"/>
              </w:rPr>
              <w:t> </w:t>
            </w:r>
            <w:r>
              <w:rPr>
                <w:sz w:val="20"/>
              </w:rPr>
              <w:t>Quechua.</w:t>
            </w:r>
          </w:p>
          <w:p>
            <w:pPr>
              <w:pStyle w:val="TableParagraph"/>
              <w:numPr>
                <w:ilvl w:val="0"/>
                <w:numId w:val="21"/>
              </w:numPr>
              <w:tabs>
                <w:tab w:pos="468" w:val="left" w:leader="none"/>
                <w:tab w:pos="469" w:val="left" w:leader="none"/>
              </w:tabs>
              <w:spacing w:line="240" w:lineRule="auto" w:before="0" w:after="0"/>
              <w:ind w:left="468" w:right="470" w:hanging="360"/>
              <w:jc w:val="left"/>
              <w:rPr>
                <w:sz w:val="20"/>
              </w:rPr>
            </w:pPr>
            <w:r>
              <w:rPr>
                <w:sz w:val="20"/>
              </w:rPr>
              <w:t>El modelo socio</w:t>
            </w:r>
            <w:r>
              <w:rPr>
                <w:spacing w:val="-9"/>
                <w:sz w:val="20"/>
              </w:rPr>
              <w:t> </w:t>
            </w:r>
            <w:r>
              <w:rPr>
                <w:sz w:val="20"/>
              </w:rPr>
              <w:t>comunitario productivo y el enfoque educativo intercultural, intracultural y plurilingue favorece el proceso de enseñanza aprendizaje de la UNIBOL</w:t>
            </w:r>
            <w:r>
              <w:rPr>
                <w:spacing w:val="-1"/>
                <w:sz w:val="20"/>
              </w:rPr>
              <w:t> </w:t>
            </w:r>
            <w:r>
              <w:rPr>
                <w:sz w:val="20"/>
              </w:rPr>
              <w:t>Quechua.</w:t>
            </w:r>
          </w:p>
          <w:p>
            <w:pPr>
              <w:pStyle w:val="TableParagraph"/>
              <w:numPr>
                <w:ilvl w:val="0"/>
                <w:numId w:val="21"/>
              </w:numPr>
              <w:tabs>
                <w:tab w:pos="469" w:val="left" w:leader="none"/>
              </w:tabs>
              <w:spacing w:line="240" w:lineRule="auto" w:before="0" w:after="0"/>
              <w:ind w:left="468" w:right="182" w:hanging="360"/>
              <w:jc w:val="both"/>
              <w:rPr>
                <w:sz w:val="20"/>
              </w:rPr>
            </w:pPr>
            <w:r>
              <w:rPr>
                <w:sz w:val="20"/>
              </w:rPr>
              <w:t>Posibilidad de captar predios</w:t>
            </w:r>
            <w:r>
              <w:rPr>
                <w:spacing w:val="-11"/>
                <w:sz w:val="20"/>
              </w:rPr>
              <w:t> </w:t>
            </w:r>
            <w:r>
              <w:rPr>
                <w:sz w:val="20"/>
              </w:rPr>
              <w:t>en diferentes pisos ecológicos para la producción e</w:t>
            </w:r>
            <w:r>
              <w:rPr>
                <w:spacing w:val="-6"/>
                <w:sz w:val="20"/>
              </w:rPr>
              <w:t> </w:t>
            </w:r>
            <w:r>
              <w:rPr>
                <w:sz w:val="20"/>
              </w:rPr>
              <w:t>investigación.</w:t>
            </w:r>
          </w:p>
          <w:p>
            <w:pPr>
              <w:pStyle w:val="TableParagraph"/>
              <w:numPr>
                <w:ilvl w:val="0"/>
                <w:numId w:val="21"/>
              </w:numPr>
              <w:tabs>
                <w:tab w:pos="468" w:val="left" w:leader="none"/>
                <w:tab w:pos="469" w:val="left" w:leader="none"/>
              </w:tabs>
              <w:spacing w:line="240" w:lineRule="auto" w:before="0" w:after="0"/>
              <w:ind w:left="468" w:right="170" w:hanging="360"/>
              <w:jc w:val="left"/>
              <w:rPr>
                <w:sz w:val="20"/>
              </w:rPr>
            </w:pPr>
            <w:r>
              <w:rPr>
                <w:sz w:val="20"/>
              </w:rPr>
              <w:t>Existen intereses de instituciones públicas y</w:t>
            </w:r>
            <w:r>
              <w:rPr>
                <w:spacing w:val="-12"/>
                <w:sz w:val="20"/>
              </w:rPr>
              <w:t> </w:t>
            </w:r>
            <w:r>
              <w:rPr>
                <w:sz w:val="20"/>
              </w:rPr>
              <w:t>privadas para trabajar con la UNIBOL Quechua, relacionadas a la investigación y</w:t>
            </w:r>
            <w:r>
              <w:rPr>
                <w:spacing w:val="-2"/>
                <w:sz w:val="20"/>
              </w:rPr>
              <w:t> </w:t>
            </w:r>
            <w:r>
              <w:rPr>
                <w:sz w:val="20"/>
              </w:rPr>
              <w:t>producción.</w:t>
            </w:r>
          </w:p>
          <w:p>
            <w:pPr>
              <w:pStyle w:val="TableParagraph"/>
              <w:numPr>
                <w:ilvl w:val="0"/>
                <w:numId w:val="21"/>
              </w:numPr>
              <w:tabs>
                <w:tab w:pos="468" w:val="left" w:leader="none"/>
                <w:tab w:pos="469" w:val="left" w:leader="none"/>
              </w:tabs>
              <w:spacing w:line="240" w:lineRule="auto" w:before="0" w:after="0"/>
              <w:ind w:left="468" w:right="103" w:hanging="360"/>
              <w:jc w:val="left"/>
              <w:rPr>
                <w:sz w:val="20"/>
              </w:rPr>
            </w:pPr>
            <w:r>
              <w:rPr>
                <w:sz w:val="20"/>
              </w:rPr>
              <w:t>La nación quechua cuenta con un currículo regionalizado para profundizar los saberes y conocimientos propios quechuas a través de la investigación para la</w:t>
            </w:r>
            <w:r>
              <w:rPr>
                <w:spacing w:val="-1"/>
                <w:sz w:val="20"/>
              </w:rPr>
              <w:t> </w:t>
            </w:r>
            <w:r>
              <w:rPr>
                <w:sz w:val="20"/>
              </w:rPr>
              <w:t>producción.</w:t>
            </w:r>
          </w:p>
        </w:tc>
      </w:tr>
    </w:tbl>
    <w:p>
      <w:pPr>
        <w:pStyle w:val="BodyText"/>
        <w:rPr>
          <w:rFonts w:ascii="Times New Roman"/>
          <w:b/>
          <w:sz w:val="20"/>
        </w:rPr>
      </w:pPr>
    </w:p>
    <w:p>
      <w:pPr>
        <w:pStyle w:val="BodyText"/>
        <w:spacing w:before="10"/>
        <w:rPr>
          <w:rFonts w:ascii="Times New Roman"/>
          <w:b/>
          <w:sz w:val="11"/>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00"/>
        <w:gridCol w:w="2835"/>
      </w:tblGrid>
      <w:tr>
        <w:trPr>
          <w:trHeight w:val="337" w:hRule="atLeast"/>
        </w:trPr>
        <w:tc>
          <w:tcPr>
            <w:tcW w:w="6800" w:type="dxa"/>
            <w:shd w:val="clear" w:color="auto" w:fill="006FC0"/>
          </w:tcPr>
          <w:p>
            <w:pPr>
              <w:pStyle w:val="TableParagraph"/>
              <w:spacing w:line="280" w:lineRule="exact"/>
              <w:ind w:left="107"/>
              <w:rPr>
                <w:rFonts w:ascii="Arial Black"/>
                <w:sz w:val="20"/>
              </w:rPr>
            </w:pPr>
            <w:r>
              <w:rPr>
                <w:rFonts w:ascii="Arial Black"/>
                <w:color w:val="F1F1F1"/>
                <w:sz w:val="20"/>
              </w:rPr>
              <w:t>Debilidades</w:t>
            </w:r>
          </w:p>
        </w:tc>
        <w:tc>
          <w:tcPr>
            <w:tcW w:w="2835" w:type="dxa"/>
            <w:shd w:val="clear" w:color="auto" w:fill="006FC0"/>
          </w:tcPr>
          <w:p>
            <w:pPr>
              <w:pStyle w:val="TableParagraph"/>
              <w:spacing w:line="318" w:lineRule="exact"/>
              <w:ind w:left="107"/>
              <w:rPr>
                <w:rFonts w:ascii="Arial Black"/>
                <w:sz w:val="24"/>
              </w:rPr>
            </w:pPr>
            <w:r>
              <w:rPr>
                <w:rFonts w:ascii="Arial Black"/>
                <w:color w:val="F1F1F1"/>
                <w:sz w:val="24"/>
              </w:rPr>
              <w:t>Amenazas</w:t>
            </w:r>
          </w:p>
        </w:tc>
      </w:tr>
      <w:tr>
        <w:trPr>
          <w:trHeight w:val="5129" w:hRule="atLeast"/>
        </w:trPr>
        <w:tc>
          <w:tcPr>
            <w:tcW w:w="6800" w:type="dxa"/>
          </w:tcPr>
          <w:p>
            <w:pPr>
              <w:pStyle w:val="TableParagraph"/>
              <w:numPr>
                <w:ilvl w:val="0"/>
                <w:numId w:val="22"/>
              </w:numPr>
              <w:tabs>
                <w:tab w:pos="467" w:val="left" w:leader="none"/>
                <w:tab w:pos="468" w:val="left" w:leader="none"/>
              </w:tabs>
              <w:spacing w:line="240" w:lineRule="auto" w:before="1" w:after="0"/>
              <w:ind w:left="467" w:right="1000" w:hanging="360"/>
              <w:jc w:val="left"/>
              <w:rPr>
                <w:sz w:val="20"/>
              </w:rPr>
            </w:pPr>
            <w:r>
              <w:rPr>
                <w:sz w:val="20"/>
              </w:rPr>
              <w:t>Falta de empoderamiento de políticas productivas por parte de</w:t>
            </w:r>
            <w:r>
              <w:rPr>
                <w:spacing w:val="-26"/>
                <w:sz w:val="20"/>
              </w:rPr>
              <w:t> </w:t>
            </w:r>
            <w:r>
              <w:rPr>
                <w:sz w:val="20"/>
              </w:rPr>
              <w:t>la comunidad universitaria.</w:t>
            </w:r>
          </w:p>
          <w:p>
            <w:pPr>
              <w:pStyle w:val="TableParagraph"/>
              <w:numPr>
                <w:ilvl w:val="0"/>
                <w:numId w:val="22"/>
              </w:numPr>
              <w:tabs>
                <w:tab w:pos="467" w:val="left" w:leader="none"/>
                <w:tab w:pos="468" w:val="left" w:leader="none"/>
              </w:tabs>
              <w:spacing w:line="240" w:lineRule="auto" w:before="0" w:after="0"/>
              <w:ind w:left="467" w:right="881" w:hanging="360"/>
              <w:jc w:val="left"/>
              <w:rPr>
                <w:sz w:val="20"/>
              </w:rPr>
            </w:pPr>
            <w:r>
              <w:rPr>
                <w:sz w:val="20"/>
              </w:rPr>
              <w:t>Existen pocos materiales generados por la universidad en el</w:t>
            </w:r>
            <w:r>
              <w:rPr>
                <w:spacing w:val="-23"/>
                <w:sz w:val="20"/>
              </w:rPr>
              <w:t> </w:t>
            </w:r>
            <w:r>
              <w:rPr>
                <w:sz w:val="20"/>
              </w:rPr>
              <w:t>campo investigativo, basado en el modelo socio comunitario</w:t>
            </w:r>
            <w:r>
              <w:rPr>
                <w:spacing w:val="-15"/>
                <w:sz w:val="20"/>
              </w:rPr>
              <w:t> </w:t>
            </w:r>
            <w:r>
              <w:rPr>
                <w:sz w:val="20"/>
              </w:rPr>
              <w:t>productivo.</w:t>
            </w:r>
          </w:p>
          <w:p>
            <w:pPr>
              <w:pStyle w:val="TableParagraph"/>
              <w:numPr>
                <w:ilvl w:val="0"/>
                <w:numId w:val="22"/>
              </w:numPr>
              <w:tabs>
                <w:tab w:pos="467" w:val="left" w:leader="none"/>
                <w:tab w:pos="468" w:val="left" w:leader="none"/>
              </w:tabs>
              <w:spacing w:line="240" w:lineRule="auto" w:before="1" w:after="0"/>
              <w:ind w:left="467" w:right="885" w:hanging="360"/>
              <w:jc w:val="left"/>
              <w:rPr>
                <w:sz w:val="20"/>
              </w:rPr>
            </w:pPr>
            <w:r>
              <w:rPr>
                <w:sz w:val="20"/>
              </w:rPr>
              <w:t>Poca capacidad productiva de productos agropecuarios,</w:t>
            </w:r>
            <w:r>
              <w:rPr>
                <w:spacing w:val="-21"/>
                <w:sz w:val="20"/>
              </w:rPr>
              <w:t> </w:t>
            </w:r>
            <w:r>
              <w:rPr>
                <w:sz w:val="20"/>
              </w:rPr>
              <w:t>forestales, acuícolas y en industria en</w:t>
            </w:r>
            <w:r>
              <w:rPr>
                <w:spacing w:val="-2"/>
                <w:sz w:val="20"/>
              </w:rPr>
              <w:t> </w:t>
            </w:r>
            <w:r>
              <w:rPr>
                <w:sz w:val="20"/>
              </w:rPr>
              <w:t>alimentos.</w:t>
            </w:r>
          </w:p>
          <w:p>
            <w:pPr>
              <w:pStyle w:val="TableParagraph"/>
              <w:numPr>
                <w:ilvl w:val="0"/>
                <w:numId w:val="22"/>
              </w:numPr>
              <w:tabs>
                <w:tab w:pos="467" w:val="left" w:leader="none"/>
                <w:tab w:pos="468" w:val="left" w:leader="none"/>
              </w:tabs>
              <w:spacing w:line="240" w:lineRule="auto" w:before="0" w:after="0"/>
              <w:ind w:left="467" w:right="1281" w:hanging="360"/>
              <w:jc w:val="left"/>
              <w:rPr>
                <w:sz w:val="20"/>
              </w:rPr>
            </w:pPr>
            <w:r>
              <w:rPr>
                <w:sz w:val="20"/>
              </w:rPr>
              <w:t>Falta de alianzas estratégicas para profundizar</w:t>
            </w:r>
            <w:r>
              <w:rPr>
                <w:spacing w:val="-24"/>
                <w:sz w:val="20"/>
              </w:rPr>
              <w:t> </w:t>
            </w:r>
            <w:r>
              <w:rPr>
                <w:sz w:val="20"/>
              </w:rPr>
              <w:t>investigaciones concernientes a las políticas</w:t>
            </w:r>
            <w:r>
              <w:rPr>
                <w:spacing w:val="-7"/>
                <w:sz w:val="20"/>
              </w:rPr>
              <w:t> </w:t>
            </w:r>
            <w:r>
              <w:rPr>
                <w:sz w:val="20"/>
              </w:rPr>
              <w:t>productivas.</w:t>
            </w:r>
          </w:p>
          <w:p>
            <w:pPr>
              <w:pStyle w:val="TableParagraph"/>
              <w:numPr>
                <w:ilvl w:val="0"/>
                <w:numId w:val="22"/>
              </w:numPr>
              <w:tabs>
                <w:tab w:pos="467" w:val="left" w:leader="none"/>
                <w:tab w:pos="468" w:val="left" w:leader="none"/>
              </w:tabs>
              <w:spacing w:line="240" w:lineRule="auto" w:before="0" w:after="0"/>
              <w:ind w:left="467" w:right="237" w:hanging="360"/>
              <w:jc w:val="left"/>
              <w:rPr>
                <w:sz w:val="20"/>
              </w:rPr>
            </w:pPr>
            <w:r>
              <w:rPr>
                <w:sz w:val="20"/>
              </w:rPr>
              <w:t>Escasa producción investigativa referente a los saberes y conocimientos de la nación quechua, genera lentitud en la consolidación de la universidad desde el sentimiento</w:t>
            </w:r>
            <w:r>
              <w:rPr>
                <w:spacing w:val="-2"/>
                <w:sz w:val="20"/>
              </w:rPr>
              <w:t> </w:t>
            </w:r>
            <w:r>
              <w:rPr>
                <w:sz w:val="20"/>
              </w:rPr>
              <w:t>quechua.</w:t>
            </w:r>
          </w:p>
          <w:p>
            <w:pPr>
              <w:pStyle w:val="TableParagraph"/>
              <w:numPr>
                <w:ilvl w:val="0"/>
                <w:numId w:val="22"/>
              </w:numPr>
              <w:tabs>
                <w:tab w:pos="467" w:val="left" w:leader="none"/>
                <w:tab w:pos="468" w:val="left" w:leader="none"/>
              </w:tabs>
              <w:spacing w:line="240" w:lineRule="auto" w:before="0" w:after="0"/>
              <w:ind w:left="467" w:right="247" w:hanging="360"/>
              <w:jc w:val="left"/>
              <w:rPr>
                <w:sz w:val="20"/>
              </w:rPr>
            </w:pPr>
            <w:r>
              <w:rPr>
                <w:sz w:val="20"/>
              </w:rPr>
              <w:t>Falta de coordinación entre autoridades regionales, departamentales, nacionales y la UNIBOL para impulsar temas de investigación y</w:t>
            </w:r>
            <w:r>
              <w:rPr>
                <w:spacing w:val="-24"/>
                <w:sz w:val="20"/>
              </w:rPr>
              <w:t> </w:t>
            </w:r>
            <w:r>
              <w:rPr>
                <w:sz w:val="20"/>
              </w:rPr>
              <w:t>producción.</w:t>
            </w:r>
          </w:p>
          <w:p>
            <w:pPr>
              <w:pStyle w:val="TableParagraph"/>
              <w:numPr>
                <w:ilvl w:val="0"/>
                <w:numId w:val="22"/>
              </w:numPr>
              <w:tabs>
                <w:tab w:pos="467" w:val="left" w:leader="none"/>
                <w:tab w:pos="468" w:val="left" w:leader="none"/>
              </w:tabs>
              <w:spacing w:line="240" w:lineRule="auto" w:before="0" w:after="0"/>
              <w:ind w:left="467" w:right="210" w:hanging="360"/>
              <w:jc w:val="left"/>
              <w:rPr>
                <w:sz w:val="20"/>
              </w:rPr>
            </w:pPr>
            <w:r>
              <w:rPr>
                <w:sz w:val="20"/>
              </w:rPr>
              <w:t>Falta de compromiso y disciplina de los estudiantes para la participación</w:t>
            </w:r>
            <w:r>
              <w:rPr>
                <w:spacing w:val="-29"/>
                <w:sz w:val="20"/>
              </w:rPr>
              <w:t> </w:t>
            </w:r>
            <w:r>
              <w:rPr>
                <w:sz w:val="20"/>
              </w:rPr>
              <w:t>en actividades productivas e</w:t>
            </w:r>
            <w:r>
              <w:rPr>
                <w:spacing w:val="-5"/>
                <w:sz w:val="20"/>
              </w:rPr>
              <w:t> </w:t>
            </w:r>
            <w:r>
              <w:rPr>
                <w:sz w:val="20"/>
              </w:rPr>
              <w:t>investigativas.</w:t>
            </w:r>
          </w:p>
          <w:p>
            <w:pPr>
              <w:pStyle w:val="TableParagraph"/>
              <w:numPr>
                <w:ilvl w:val="0"/>
                <w:numId w:val="22"/>
              </w:numPr>
              <w:tabs>
                <w:tab w:pos="467" w:val="left" w:leader="none"/>
                <w:tab w:pos="468" w:val="left" w:leader="none"/>
              </w:tabs>
              <w:spacing w:line="240" w:lineRule="auto" w:before="0" w:after="0"/>
              <w:ind w:left="467" w:right="286" w:hanging="360"/>
              <w:jc w:val="left"/>
              <w:rPr>
                <w:sz w:val="20"/>
              </w:rPr>
            </w:pPr>
            <w:r>
              <w:rPr>
                <w:sz w:val="20"/>
              </w:rPr>
              <w:t>La poca coherencia de la malla curricular con las políticas trazadas para</w:t>
            </w:r>
            <w:r>
              <w:rPr>
                <w:spacing w:val="-21"/>
                <w:sz w:val="20"/>
              </w:rPr>
              <w:t> </w:t>
            </w:r>
            <w:r>
              <w:rPr>
                <w:sz w:val="20"/>
              </w:rPr>
              <w:t>las UNIBOL.</w:t>
            </w:r>
          </w:p>
          <w:p>
            <w:pPr>
              <w:pStyle w:val="TableParagraph"/>
              <w:numPr>
                <w:ilvl w:val="0"/>
                <w:numId w:val="22"/>
              </w:numPr>
              <w:tabs>
                <w:tab w:pos="467" w:val="left" w:leader="none"/>
                <w:tab w:pos="468" w:val="left" w:leader="none"/>
              </w:tabs>
              <w:spacing w:line="240" w:lineRule="auto" w:before="0" w:after="0"/>
              <w:ind w:left="467" w:right="528" w:hanging="360"/>
              <w:jc w:val="left"/>
              <w:rPr>
                <w:sz w:val="20"/>
              </w:rPr>
            </w:pPr>
            <w:r>
              <w:rPr>
                <w:sz w:val="20"/>
              </w:rPr>
              <w:t>Proceso de evaluación incoherente al modelo pedagógico de la</w:t>
            </w:r>
            <w:r>
              <w:rPr>
                <w:spacing w:val="-20"/>
                <w:sz w:val="20"/>
              </w:rPr>
              <w:t> </w:t>
            </w:r>
            <w:r>
              <w:rPr>
                <w:sz w:val="20"/>
              </w:rPr>
              <w:t>UNIBOL Quechua referente al tema</w:t>
            </w:r>
            <w:r>
              <w:rPr>
                <w:spacing w:val="-3"/>
                <w:sz w:val="20"/>
              </w:rPr>
              <w:t> </w:t>
            </w:r>
            <w:r>
              <w:rPr>
                <w:sz w:val="20"/>
              </w:rPr>
              <w:t>productivo.</w:t>
            </w:r>
          </w:p>
          <w:p>
            <w:pPr>
              <w:pStyle w:val="TableParagraph"/>
              <w:numPr>
                <w:ilvl w:val="0"/>
                <w:numId w:val="22"/>
              </w:numPr>
              <w:tabs>
                <w:tab w:pos="468" w:val="left" w:leader="none"/>
              </w:tabs>
              <w:spacing w:line="243" w:lineRule="exact" w:before="0" w:after="0"/>
              <w:ind w:left="467" w:right="0" w:hanging="361"/>
              <w:jc w:val="left"/>
              <w:rPr>
                <w:sz w:val="20"/>
              </w:rPr>
            </w:pPr>
            <w:r>
              <w:rPr>
                <w:sz w:val="20"/>
              </w:rPr>
              <w:t>Inexistencia de un Instituto de investigación, donde se genere líneas y</w:t>
            </w:r>
            <w:r>
              <w:rPr>
                <w:spacing w:val="-26"/>
                <w:sz w:val="20"/>
              </w:rPr>
              <w:t> </w:t>
            </w:r>
            <w:r>
              <w:rPr>
                <w:sz w:val="20"/>
              </w:rPr>
              <w:t>temas</w:t>
            </w:r>
          </w:p>
          <w:p>
            <w:pPr>
              <w:pStyle w:val="TableParagraph"/>
              <w:spacing w:line="225" w:lineRule="exact"/>
              <w:ind w:left="467"/>
              <w:rPr>
                <w:sz w:val="20"/>
              </w:rPr>
            </w:pPr>
            <w:r>
              <w:rPr>
                <w:sz w:val="20"/>
              </w:rPr>
              <w:t>de investigaciones planificadas y sistemáticas.</w:t>
            </w:r>
          </w:p>
        </w:tc>
        <w:tc>
          <w:tcPr>
            <w:tcW w:w="2835" w:type="dxa"/>
          </w:tcPr>
          <w:p>
            <w:pPr>
              <w:pStyle w:val="TableParagraph"/>
              <w:numPr>
                <w:ilvl w:val="0"/>
                <w:numId w:val="23"/>
              </w:numPr>
              <w:tabs>
                <w:tab w:pos="468" w:val="left" w:leader="none"/>
              </w:tabs>
              <w:spacing w:line="240" w:lineRule="auto" w:before="0" w:after="0"/>
              <w:ind w:left="467" w:right="108" w:hanging="360"/>
              <w:jc w:val="left"/>
              <w:rPr>
                <w:sz w:val="22"/>
              </w:rPr>
            </w:pPr>
            <w:r>
              <w:rPr>
                <w:sz w:val="22"/>
              </w:rPr>
              <w:t>Dependencia de </w:t>
            </w:r>
            <w:r>
              <w:rPr>
                <w:spacing w:val="-3"/>
                <w:sz w:val="22"/>
              </w:rPr>
              <w:t>ingresos </w:t>
            </w:r>
            <w:r>
              <w:rPr>
                <w:sz w:val="22"/>
              </w:rPr>
              <w:t>económicos por IDH (fondo indígena) generan una inestabilidad financiera a la UNIBOL</w:t>
            </w:r>
            <w:r>
              <w:rPr>
                <w:spacing w:val="-2"/>
                <w:sz w:val="22"/>
              </w:rPr>
              <w:t> </w:t>
            </w:r>
            <w:r>
              <w:rPr>
                <w:sz w:val="22"/>
              </w:rPr>
              <w:t>Quechua.</w:t>
            </w:r>
          </w:p>
          <w:p>
            <w:pPr>
              <w:pStyle w:val="TableParagraph"/>
              <w:numPr>
                <w:ilvl w:val="0"/>
                <w:numId w:val="23"/>
              </w:numPr>
              <w:tabs>
                <w:tab w:pos="468" w:val="left" w:leader="none"/>
              </w:tabs>
              <w:spacing w:line="268" w:lineRule="exact" w:before="0" w:after="0"/>
              <w:ind w:left="467" w:right="0" w:hanging="361"/>
              <w:jc w:val="left"/>
              <w:rPr>
                <w:sz w:val="22"/>
              </w:rPr>
            </w:pPr>
            <w:r>
              <w:rPr>
                <w:sz w:val="22"/>
              </w:rPr>
              <w:t>Cambio</w:t>
            </w:r>
            <w:r>
              <w:rPr>
                <w:spacing w:val="-3"/>
                <w:sz w:val="22"/>
              </w:rPr>
              <w:t> </w:t>
            </w:r>
            <w:r>
              <w:rPr>
                <w:sz w:val="22"/>
              </w:rPr>
              <w:t>climático</w:t>
            </w:r>
          </w:p>
          <w:p>
            <w:pPr>
              <w:pStyle w:val="TableParagraph"/>
              <w:numPr>
                <w:ilvl w:val="0"/>
                <w:numId w:val="23"/>
              </w:numPr>
              <w:tabs>
                <w:tab w:pos="468" w:val="left" w:leader="none"/>
              </w:tabs>
              <w:spacing w:line="240" w:lineRule="auto" w:before="0" w:after="0"/>
              <w:ind w:left="467" w:right="110" w:hanging="360"/>
              <w:jc w:val="left"/>
              <w:rPr>
                <w:sz w:val="22"/>
              </w:rPr>
            </w:pPr>
            <w:r>
              <w:rPr>
                <w:sz w:val="22"/>
              </w:rPr>
              <w:t>Pérdida del sentido investigativo, productivo socio comunitario de la comunidad universitaria, por cambio de autoridades municipales, departamentales y nacionales con diferente ideología y</w:t>
            </w:r>
            <w:r>
              <w:rPr>
                <w:spacing w:val="-2"/>
                <w:sz w:val="22"/>
              </w:rPr>
              <w:t> </w:t>
            </w:r>
            <w:r>
              <w:rPr>
                <w:sz w:val="22"/>
              </w:rPr>
              <w:t>política.</w:t>
            </w:r>
          </w:p>
        </w:tc>
      </w:tr>
    </w:tbl>
    <w:p>
      <w:pPr>
        <w:spacing w:after="0" w:line="240" w:lineRule="auto"/>
        <w:jc w:val="left"/>
        <w:rPr>
          <w:sz w:val="22"/>
        </w:rPr>
        <w:sectPr>
          <w:pgSz w:w="11910" w:h="16840"/>
          <w:pgMar w:header="0" w:footer="922" w:top="1580" w:bottom="1200" w:left="620" w:right="280"/>
        </w:sectPr>
      </w:pPr>
    </w:p>
    <w:p>
      <w:pPr>
        <w:pStyle w:val="BodyText"/>
        <w:ind w:left="969"/>
        <w:rPr>
          <w:rFonts w:ascii="Times New Roman"/>
          <w:sz w:val="20"/>
        </w:rPr>
      </w:pPr>
      <w:r>
        <w:rPr>
          <w:rFonts w:ascii="Times New Roman"/>
          <w:sz w:val="20"/>
        </w:rPr>
        <w:pict>
          <v:group style="width:482.25pt;height:135.4pt;mso-position-horizontal-relative:char;mso-position-vertical-relative:line" coordorigin="0,0" coordsize="9645,2708">
            <v:line style="position:absolute" from="10,5" to="6800,5" stroked="true" strokeweight=".48pt" strokecolor="#000000">
              <v:stroke dashstyle="solid"/>
            </v:line>
            <v:line style="position:absolute" from="6810,5" to="9635,5" stroked="true" strokeweight=".48pt" strokecolor="#000000">
              <v:stroke dashstyle="solid"/>
            </v:line>
            <v:line style="position:absolute" from="10,2703" to="6800,2703" stroked="true" strokeweight=".48001pt" strokecolor="#000000">
              <v:stroke dashstyle="solid"/>
            </v:line>
            <v:line style="position:absolute" from="6805,0" to="6805,2708" stroked="true" strokeweight=".47998pt" strokecolor="#000000">
              <v:stroke dashstyle="solid"/>
            </v:line>
            <v:line style="position:absolute" from="6810,2703" to="9635,2703" stroked="true" strokeweight=".48001pt" strokecolor="#000000">
              <v:stroke dashstyle="solid"/>
            </v:line>
            <v:line style="position:absolute" from="9640,0" to="9640,2708" stroked="true" strokeweight=".47998pt" strokecolor="#000000">
              <v:stroke dashstyle="solid"/>
            </v:line>
            <v:shape style="position:absolute;left:4;top:4;width:6801;height:2698" type="#_x0000_t202" filled="false" stroked="true" strokeweight=".47998pt" strokecolor="#000000">
              <v:textbox inset="0,0,0,0">
                <w:txbxContent>
                  <w:p>
                    <w:pPr>
                      <w:numPr>
                        <w:ilvl w:val="0"/>
                        <w:numId w:val="24"/>
                      </w:numPr>
                      <w:tabs>
                        <w:tab w:pos="464" w:val="left" w:leader="none"/>
                      </w:tabs>
                      <w:spacing w:before="2"/>
                      <w:ind w:left="463" w:right="460" w:hanging="360"/>
                      <w:jc w:val="both"/>
                      <w:rPr>
                        <w:rFonts w:ascii="Calibri" w:hAnsi="Calibri"/>
                        <w:sz w:val="20"/>
                      </w:rPr>
                    </w:pPr>
                    <w:r>
                      <w:rPr>
                        <w:rFonts w:ascii="Calibri" w:hAnsi="Calibri"/>
                        <w:sz w:val="20"/>
                      </w:rPr>
                      <w:t>Normativa interna y reglamentación para la investigación, aun es débil</w:t>
                    </w:r>
                    <w:r>
                      <w:rPr>
                        <w:rFonts w:ascii="Calibri" w:hAnsi="Calibri"/>
                        <w:spacing w:val="-24"/>
                        <w:sz w:val="20"/>
                      </w:rPr>
                      <w:t> </w:t>
                    </w:r>
                    <w:r>
                      <w:rPr>
                        <w:rFonts w:ascii="Calibri" w:hAnsi="Calibri"/>
                        <w:sz w:val="20"/>
                      </w:rPr>
                      <w:t>e incompleta.</w:t>
                    </w:r>
                  </w:p>
                  <w:p>
                    <w:pPr>
                      <w:numPr>
                        <w:ilvl w:val="0"/>
                        <w:numId w:val="24"/>
                      </w:numPr>
                      <w:tabs>
                        <w:tab w:pos="464" w:val="left" w:leader="none"/>
                      </w:tabs>
                      <w:spacing w:before="0"/>
                      <w:ind w:left="463" w:right="185" w:hanging="360"/>
                      <w:jc w:val="both"/>
                      <w:rPr>
                        <w:rFonts w:ascii="Calibri" w:hAnsi="Calibri"/>
                        <w:sz w:val="20"/>
                      </w:rPr>
                    </w:pPr>
                    <w:r>
                      <w:rPr>
                        <w:rFonts w:ascii="Calibri" w:hAnsi="Calibri"/>
                        <w:sz w:val="20"/>
                      </w:rPr>
                      <w:t>Suelos deteriorados e improductivos en los predios de la UNIBOL Quechua, limita la investigación en temas específicos, pero posibilitan la</w:t>
                    </w:r>
                    <w:r>
                      <w:rPr>
                        <w:rFonts w:ascii="Calibri" w:hAnsi="Calibri"/>
                        <w:spacing w:val="-23"/>
                        <w:sz w:val="20"/>
                      </w:rPr>
                      <w:t> </w:t>
                    </w:r>
                    <w:r>
                      <w:rPr>
                        <w:rFonts w:ascii="Calibri" w:hAnsi="Calibri"/>
                        <w:sz w:val="20"/>
                      </w:rPr>
                      <w:t>investigación para el manejo, la conservación y la recuperación de</w:t>
                    </w:r>
                    <w:r>
                      <w:rPr>
                        <w:rFonts w:ascii="Calibri" w:hAnsi="Calibri"/>
                        <w:spacing w:val="-7"/>
                        <w:sz w:val="20"/>
                      </w:rPr>
                      <w:t> </w:t>
                    </w:r>
                    <w:r>
                      <w:rPr>
                        <w:rFonts w:ascii="Calibri" w:hAnsi="Calibri"/>
                        <w:sz w:val="20"/>
                      </w:rPr>
                      <w:t>suelos.</w:t>
                    </w:r>
                  </w:p>
                  <w:p>
                    <w:pPr>
                      <w:numPr>
                        <w:ilvl w:val="0"/>
                        <w:numId w:val="24"/>
                      </w:numPr>
                      <w:tabs>
                        <w:tab w:pos="464" w:val="left" w:leader="none"/>
                      </w:tabs>
                      <w:spacing w:before="0"/>
                      <w:ind w:left="463" w:right="109" w:hanging="360"/>
                      <w:jc w:val="both"/>
                      <w:rPr>
                        <w:rFonts w:ascii="Calibri" w:hAnsi="Calibri"/>
                        <w:sz w:val="20"/>
                      </w:rPr>
                    </w:pPr>
                    <w:r>
                      <w:rPr>
                        <w:rFonts w:ascii="Calibri" w:hAnsi="Calibri"/>
                        <w:sz w:val="20"/>
                      </w:rPr>
                      <w:t>No se cuenta con una metodología apropiada para la investigación, sobre</w:t>
                    </w:r>
                    <w:r>
                      <w:rPr>
                        <w:rFonts w:ascii="Calibri" w:hAnsi="Calibri"/>
                        <w:spacing w:val="-28"/>
                        <w:sz w:val="20"/>
                      </w:rPr>
                      <w:t> </w:t>
                    </w:r>
                    <w:r>
                      <w:rPr>
                        <w:rFonts w:ascii="Calibri" w:hAnsi="Calibri"/>
                        <w:sz w:val="20"/>
                      </w:rPr>
                      <w:t>las dimensiones de la Chakana (cruz andina: munay, yachay, ruway, atiy, sumaq kawsanapaq).</w:t>
                    </w:r>
                  </w:p>
                  <w:p>
                    <w:pPr>
                      <w:numPr>
                        <w:ilvl w:val="0"/>
                        <w:numId w:val="24"/>
                      </w:numPr>
                      <w:tabs>
                        <w:tab w:pos="464" w:val="left" w:leader="none"/>
                      </w:tabs>
                      <w:spacing w:before="0"/>
                      <w:ind w:left="463" w:right="475" w:hanging="360"/>
                      <w:jc w:val="both"/>
                      <w:rPr>
                        <w:rFonts w:ascii="Calibri" w:hAnsi="Calibri"/>
                        <w:sz w:val="20"/>
                      </w:rPr>
                    </w:pPr>
                    <w:r>
                      <w:rPr>
                        <w:rFonts w:ascii="Calibri" w:hAnsi="Calibri"/>
                        <w:sz w:val="20"/>
                      </w:rPr>
                      <w:t>Falta de sistemas de control, seguimiento y monitoreo a los procesos</w:t>
                    </w:r>
                    <w:r>
                      <w:rPr>
                        <w:rFonts w:ascii="Calibri" w:hAnsi="Calibri"/>
                        <w:spacing w:val="-28"/>
                        <w:sz w:val="20"/>
                      </w:rPr>
                      <w:t> </w:t>
                    </w:r>
                    <w:r>
                      <w:rPr>
                        <w:rFonts w:ascii="Calibri" w:hAnsi="Calibri"/>
                        <w:sz w:val="20"/>
                      </w:rPr>
                      <w:t>de investigación.</w:t>
                    </w:r>
                  </w:p>
                  <w:p>
                    <w:pPr>
                      <w:numPr>
                        <w:ilvl w:val="0"/>
                        <w:numId w:val="24"/>
                      </w:numPr>
                      <w:tabs>
                        <w:tab w:pos="464" w:val="left" w:leader="none"/>
                      </w:tabs>
                      <w:spacing w:before="0"/>
                      <w:ind w:left="463" w:right="0" w:hanging="361"/>
                      <w:jc w:val="both"/>
                      <w:rPr>
                        <w:rFonts w:ascii="Calibri" w:hAnsi="Calibri"/>
                        <w:sz w:val="20"/>
                      </w:rPr>
                    </w:pPr>
                    <w:r>
                      <w:rPr>
                        <w:rFonts w:ascii="Calibri" w:hAnsi="Calibri"/>
                        <w:sz w:val="20"/>
                      </w:rPr>
                      <w:t>Módulos productivos no</w:t>
                    </w:r>
                    <w:r>
                      <w:rPr>
                        <w:rFonts w:ascii="Calibri" w:hAnsi="Calibri"/>
                        <w:spacing w:val="-4"/>
                        <w:sz w:val="20"/>
                      </w:rPr>
                      <w:t> </w:t>
                    </w:r>
                    <w:r>
                      <w:rPr>
                        <w:rFonts w:ascii="Calibri" w:hAnsi="Calibri"/>
                        <w:sz w:val="20"/>
                      </w:rPr>
                      <w:t>consolidados</w:t>
                    </w:r>
                  </w:p>
                </w:txbxContent>
              </v:textbox>
              <v:stroke dashstyle="solid"/>
              <w10:wrap type="none"/>
            </v:shape>
          </v:group>
        </w:pict>
      </w:r>
      <w:r>
        <w:rPr>
          <w:rFonts w:ascii="Times New Roman"/>
          <w:sz w:val="20"/>
        </w:rPr>
      </w:r>
    </w:p>
    <w:p>
      <w:pPr>
        <w:pStyle w:val="BodyText"/>
        <w:spacing w:before="5"/>
        <w:rPr>
          <w:rFonts w:ascii="Times New Roman"/>
          <w:b/>
          <w:sz w:val="19"/>
        </w:rPr>
      </w:pPr>
    </w:p>
    <w:p>
      <w:pPr>
        <w:spacing w:before="90" w:after="4"/>
        <w:ind w:left="1082" w:right="0" w:firstLine="0"/>
        <w:jc w:val="left"/>
        <w:rPr>
          <w:rFonts w:ascii="Times New Roman" w:hAnsi="Times New Roman"/>
          <w:b/>
          <w:sz w:val="24"/>
        </w:rPr>
      </w:pPr>
      <w:r>
        <w:rPr>
          <w:rFonts w:ascii="Times New Roman" w:hAnsi="Times New Roman"/>
          <w:b/>
          <w:sz w:val="24"/>
        </w:rPr>
        <w:t>Sub Nivel Social, Político, Cultural Y Lingüístico</w:t>
      </w: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4"/>
        <w:gridCol w:w="4251"/>
      </w:tblGrid>
      <w:tr>
        <w:trPr>
          <w:trHeight w:val="309" w:hRule="atLeast"/>
        </w:trPr>
        <w:tc>
          <w:tcPr>
            <w:tcW w:w="5384" w:type="dxa"/>
            <w:shd w:val="clear" w:color="auto" w:fill="006FC0"/>
          </w:tcPr>
          <w:p>
            <w:pPr>
              <w:pStyle w:val="TableParagraph"/>
              <w:spacing w:line="289" w:lineRule="exact"/>
              <w:ind w:left="107"/>
              <w:rPr>
                <w:rFonts w:ascii="Arial Black"/>
                <w:sz w:val="22"/>
              </w:rPr>
            </w:pPr>
            <w:r>
              <w:rPr>
                <w:rFonts w:ascii="Arial Black"/>
                <w:color w:val="F1F1F1"/>
                <w:sz w:val="22"/>
              </w:rPr>
              <w:t>Fortalezas</w:t>
            </w:r>
          </w:p>
        </w:tc>
        <w:tc>
          <w:tcPr>
            <w:tcW w:w="4251" w:type="dxa"/>
            <w:shd w:val="clear" w:color="auto" w:fill="006FC0"/>
          </w:tcPr>
          <w:p>
            <w:pPr>
              <w:pStyle w:val="TableParagraph"/>
              <w:spacing w:line="289" w:lineRule="exact"/>
              <w:ind w:left="105"/>
              <w:rPr>
                <w:rFonts w:ascii="Arial Black"/>
                <w:sz w:val="22"/>
              </w:rPr>
            </w:pPr>
            <w:r>
              <w:rPr>
                <w:rFonts w:ascii="Arial Black"/>
                <w:color w:val="F1F1F1"/>
                <w:sz w:val="22"/>
              </w:rPr>
              <w:t>Oportunidades</w:t>
            </w:r>
          </w:p>
        </w:tc>
      </w:tr>
      <w:tr>
        <w:trPr>
          <w:trHeight w:val="4641" w:hRule="atLeast"/>
        </w:trPr>
        <w:tc>
          <w:tcPr>
            <w:tcW w:w="5384" w:type="dxa"/>
          </w:tcPr>
          <w:p>
            <w:pPr>
              <w:pStyle w:val="TableParagraph"/>
              <w:numPr>
                <w:ilvl w:val="0"/>
                <w:numId w:val="25"/>
              </w:numPr>
              <w:tabs>
                <w:tab w:pos="467" w:val="left" w:leader="none"/>
                <w:tab w:pos="468" w:val="left" w:leader="none"/>
              </w:tabs>
              <w:spacing w:line="240" w:lineRule="auto" w:before="1" w:after="0"/>
              <w:ind w:left="467" w:right="550" w:hanging="360"/>
              <w:jc w:val="left"/>
              <w:rPr>
                <w:sz w:val="20"/>
              </w:rPr>
            </w:pPr>
            <w:r>
              <w:rPr>
                <w:sz w:val="20"/>
              </w:rPr>
              <w:t>Universidad con un nuevo enfoque y horizonte, que responde necesidades de las comunidades indígenas originarias del país, para el vivir bien (sumaq</w:t>
            </w:r>
            <w:r>
              <w:rPr>
                <w:spacing w:val="-19"/>
                <w:sz w:val="20"/>
              </w:rPr>
              <w:t> </w:t>
            </w:r>
            <w:r>
              <w:rPr>
                <w:sz w:val="20"/>
              </w:rPr>
              <w:t>kawsay).</w:t>
            </w:r>
          </w:p>
          <w:p>
            <w:pPr>
              <w:pStyle w:val="TableParagraph"/>
              <w:numPr>
                <w:ilvl w:val="0"/>
                <w:numId w:val="25"/>
              </w:numPr>
              <w:tabs>
                <w:tab w:pos="467" w:val="left" w:leader="none"/>
                <w:tab w:pos="468" w:val="left" w:leader="none"/>
              </w:tabs>
              <w:spacing w:line="240" w:lineRule="auto" w:before="0" w:after="0"/>
              <w:ind w:left="467" w:right="214" w:hanging="360"/>
              <w:jc w:val="left"/>
              <w:rPr>
                <w:sz w:val="20"/>
              </w:rPr>
            </w:pPr>
            <w:r>
              <w:rPr>
                <w:sz w:val="20"/>
              </w:rPr>
              <w:t>Unidad Académica con perspectiva comunitaria,</w:t>
            </w:r>
            <w:r>
              <w:rPr>
                <w:spacing w:val="-20"/>
                <w:sz w:val="20"/>
              </w:rPr>
              <w:t> </w:t>
            </w:r>
            <w:r>
              <w:rPr>
                <w:sz w:val="20"/>
              </w:rPr>
              <w:t>filosófica y</w:t>
            </w:r>
            <w:r>
              <w:rPr>
                <w:spacing w:val="-1"/>
                <w:sz w:val="20"/>
              </w:rPr>
              <w:t> </w:t>
            </w:r>
            <w:r>
              <w:rPr>
                <w:sz w:val="20"/>
              </w:rPr>
              <w:t>política.</w:t>
            </w:r>
          </w:p>
          <w:p>
            <w:pPr>
              <w:pStyle w:val="TableParagraph"/>
              <w:numPr>
                <w:ilvl w:val="0"/>
                <w:numId w:val="25"/>
              </w:numPr>
              <w:tabs>
                <w:tab w:pos="467" w:val="left" w:leader="none"/>
                <w:tab w:pos="468" w:val="left" w:leader="none"/>
              </w:tabs>
              <w:spacing w:line="240" w:lineRule="auto" w:before="0" w:after="0"/>
              <w:ind w:left="467" w:right="461" w:hanging="360"/>
              <w:jc w:val="left"/>
              <w:rPr>
                <w:sz w:val="20"/>
              </w:rPr>
            </w:pPr>
            <w:r>
              <w:rPr>
                <w:sz w:val="20"/>
              </w:rPr>
              <w:t>Comunidad Universitaria con diversidad cultural que Implementa un enfoque plurilingue, intra e interculturalidad</w:t>
            </w:r>
          </w:p>
          <w:p>
            <w:pPr>
              <w:pStyle w:val="TableParagraph"/>
              <w:numPr>
                <w:ilvl w:val="0"/>
                <w:numId w:val="25"/>
              </w:numPr>
              <w:tabs>
                <w:tab w:pos="467" w:val="left" w:leader="none"/>
                <w:tab w:pos="468" w:val="left" w:leader="none"/>
              </w:tabs>
              <w:spacing w:line="240" w:lineRule="auto" w:before="0" w:after="0"/>
              <w:ind w:left="467" w:right="309" w:hanging="360"/>
              <w:jc w:val="left"/>
              <w:rPr>
                <w:sz w:val="20"/>
              </w:rPr>
            </w:pPr>
            <w:r>
              <w:rPr>
                <w:sz w:val="20"/>
              </w:rPr>
              <w:t>Institución estructurada a base de las políticas</w:t>
            </w:r>
            <w:r>
              <w:rPr>
                <w:spacing w:val="-22"/>
                <w:sz w:val="20"/>
              </w:rPr>
              <w:t> </w:t>
            </w:r>
            <w:r>
              <w:rPr>
                <w:sz w:val="20"/>
              </w:rPr>
              <w:t>filosóficas enmarcadas desde las organizaciones sociales</w:t>
            </w:r>
            <w:r>
              <w:rPr>
                <w:spacing w:val="-15"/>
                <w:sz w:val="20"/>
              </w:rPr>
              <w:t> </w:t>
            </w:r>
            <w:r>
              <w:rPr>
                <w:sz w:val="20"/>
              </w:rPr>
              <w:t>matrices.</w:t>
            </w:r>
          </w:p>
          <w:p>
            <w:pPr>
              <w:pStyle w:val="TableParagraph"/>
              <w:numPr>
                <w:ilvl w:val="0"/>
                <w:numId w:val="25"/>
              </w:numPr>
              <w:tabs>
                <w:tab w:pos="467" w:val="left" w:leader="none"/>
                <w:tab w:pos="468" w:val="left" w:leader="none"/>
              </w:tabs>
              <w:spacing w:line="240" w:lineRule="auto" w:before="0" w:after="0"/>
              <w:ind w:left="467" w:right="141" w:hanging="360"/>
              <w:jc w:val="left"/>
              <w:rPr>
                <w:sz w:val="20"/>
              </w:rPr>
            </w:pPr>
            <w:r>
              <w:rPr>
                <w:sz w:val="20"/>
              </w:rPr>
              <w:t>Currículo descolonizado en base a saberes,</w:t>
            </w:r>
            <w:r>
              <w:rPr>
                <w:spacing w:val="-24"/>
                <w:sz w:val="20"/>
              </w:rPr>
              <w:t> </w:t>
            </w:r>
            <w:r>
              <w:rPr>
                <w:sz w:val="20"/>
              </w:rPr>
              <w:t>conocimientos, tecnología, ciencia y lengua de la nación</w:t>
            </w:r>
            <w:r>
              <w:rPr>
                <w:spacing w:val="-5"/>
                <w:sz w:val="20"/>
              </w:rPr>
              <w:t> </w:t>
            </w:r>
            <w:r>
              <w:rPr>
                <w:sz w:val="20"/>
              </w:rPr>
              <w:t>quechua.</w:t>
            </w:r>
          </w:p>
          <w:p>
            <w:pPr>
              <w:pStyle w:val="TableParagraph"/>
              <w:numPr>
                <w:ilvl w:val="0"/>
                <w:numId w:val="25"/>
              </w:numPr>
              <w:tabs>
                <w:tab w:pos="467" w:val="left" w:leader="none"/>
                <w:tab w:pos="468" w:val="left" w:leader="none"/>
              </w:tabs>
              <w:spacing w:line="240" w:lineRule="auto" w:before="0" w:after="0"/>
              <w:ind w:left="467" w:right="288" w:hanging="360"/>
              <w:jc w:val="left"/>
              <w:rPr>
                <w:sz w:val="20"/>
              </w:rPr>
            </w:pPr>
            <w:r>
              <w:rPr>
                <w:sz w:val="20"/>
              </w:rPr>
              <w:t>Formación de profesionales con conocimiento técnico y sensibilidad social</w:t>
            </w:r>
          </w:p>
          <w:p>
            <w:pPr>
              <w:pStyle w:val="TableParagraph"/>
              <w:numPr>
                <w:ilvl w:val="0"/>
                <w:numId w:val="25"/>
              </w:numPr>
              <w:tabs>
                <w:tab w:pos="467" w:val="left" w:leader="none"/>
                <w:tab w:pos="468" w:val="left" w:leader="none"/>
              </w:tabs>
              <w:spacing w:line="240" w:lineRule="auto" w:before="0" w:after="0"/>
              <w:ind w:left="467" w:right="188" w:hanging="360"/>
              <w:jc w:val="left"/>
              <w:rPr>
                <w:sz w:val="20"/>
              </w:rPr>
            </w:pPr>
            <w:r>
              <w:rPr>
                <w:sz w:val="20"/>
              </w:rPr>
              <w:t>La Universidad cuenta con sabios Indígenas para</w:t>
            </w:r>
            <w:r>
              <w:rPr>
                <w:spacing w:val="-24"/>
                <w:sz w:val="20"/>
              </w:rPr>
              <w:t> </w:t>
            </w:r>
            <w:r>
              <w:rPr>
                <w:sz w:val="20"/>
              </w:rPr>
              <w:t>visibilizar los saberes y conocimientos</w:t>
            </w:r>
            <w:r>
              <w:rPr>
                <w:spacing w:val="-6"/>
                <w:sz w:val="20"/>
              </w:rPr>
              <w:t> </w:t>
            </w:r>
            <w:r>
              <w:rPr>
                <w:sz w:val="20"/>
              </w:rPr>
              <w:t>ancestrales.</w:t>
            </w:r>
          </w:p>
          <w:p>
            <w:pPr>
              <w:pStyle w:val="TableParagraph"/>
              <w:numPr>
                <w:ilvl w:val="0"/>
                <w:numId w:val="25"/>
              </w:numPr>
              <w:tabs>
                <w:tab w:pos="467" w:val="left" w:leader="none"/>
                <w:tab w:pos="468" w:val="left" w:leader="none"/>
              </w:tabs>
              <w:spacing w:line="240" w:lineRule="auto" w:before="0" w:after="0"/>
              <w:ind w:left="467" w:right="463" w:hanging="360"/>
              <w:jc w:val="left"/>
              <w:rPr>
                <w:sz w:val="20"/>
              </w:rPr>
            </w:pPr>
            <w:r>
              <w:rPr>
                <w:sz w:val="20"/>
              </w:rPr>
              <w:t>Junta Comunitaria conformadas por las organizaciones matrices para la toma de decisiones</w:t>
            </w:r>
            <w:r>
              <w:rPr>
                <w:spacing w:val="-13"/>
                <w:sz w:val="20"/>
              </w:rPr>
              <w:t> </w:t>
            </w:r>
            <w:r>
              <w:rPr>
                <w:sz w:val="20"/>
              </w:rPr>
              <w:t>institucionales.</w:t>
            </w:r>
          </w:p>
        </w:tc>
        <w:tc>
          <w:tcPr>
            <w:tcW w:w="4251" w:type="dxa"/>
          </w:tcPr>
          <w:p>
            <w:pPr>
              <w:pStyle w:val="TableParagraph"/>
              <w:numPr>
                <w:ilvl w:val="0"/>
                <w:numId w:val="26"/>
              </w:numPr>
              <w:tabs>
                <w:tab w:pos="465" w:val="left" w:leader="none"/>
                <w:tab w:pos="466" w:val="left" w:leader="none"/>
              </w:tabs>
              <w:spacing w:line="240" w:lineRule="auto" w:before="1" w:after="0"/>
              <w:ind w:left="465" w:right="776" w:hanging="360"/>
              <w:jc w:val="left"/>
              <w:rPr>
                <w:sz w:val="20"/>
              </w:rPr>
            </w:pPr>
            <w:r>
              <w:rPr>
                <w:sz w:val="20"/>
              </w:rPr>
              <w:t>Políticas Nacionales que favorecen</w:t>
            </w:r>
            <w:r>
              <w:rPr>
                <w:spacing w:val="-14"/>
                <w:sz w:val="20"/>
              </w:rPr>
              <w:t> </w:t>
            </w:r>
            <w:r>
              <w:rPr>
                <w:sz w:val="20"/>
              </w:rPr>
              <w:t>la Descolonización</w:t>
            </w:r>
            <w:r>
              <w:rPr>
                <w:spacing w:val="-1"/>
                <w:sz w:val="20"/>
              </w:rPr>
              <w:t> </w:t>
            </w:r>
            <w:r>
              <w:rPr>
                <w:sz w:val="20"/>
              </w:rPr>
              <w:t>Integral</w:t>
            </w:r>
          </w:p>
          <w:p>
            <w:pPr>
              <w:pStyle w:val="TableParagraph"/>
              <w:numPr>
                <w:ilvl w:val="0"/>
                <w:numId w:val="26"/>
              </w:numPr>
              <w:tabs>
                <w:tab w:pos="465" w:val="left" w:leader="none"/>
                <w:tab w:pos="466" w:val="left" w:leader="none"/>
              </w:tabs>
              <w:spacing w:line="240" w:lineRule="auto" w:before="0" w:after="0"/>
              <w:ind w:left="465" w:right="113" w:hanging="360"/>
              <w:jc w:val="left"/>
              <w:rPr>
                <w:sz w:val="20"/>
              </w:rPr>
            </w:pPr>
            <w:r>
              <w:rPr>
                <w:sz w:val="20"/>
              </w:rPr>
              <w:t>Apoyo político del Gobierno a la Universidad Indígena Quechua Casimiro</w:t>
            </w:r>
            <w:r>
              <w:rPr>
                <w:spacing w:val="-3"/>
                <w:sz w:val="20"/>
              </w:rPr>
              <w:t> </w:t>
            </w:r>
            <w:r>
              <w:rPr>
                <w:sz w:val="20"/>
              </w:rPr>
              <w:t>Huanca</w:t>
            </w:r>
          </w:p>
          <w:p>
            <w:pPr>
              <w:pStyle w:val="TableParagraph"/>
              <w:numPr>
                <w:ilvl w:val="0"/>
                <w:numId w:val="26"/>
              </w:numPr>
              <w:tabs>
                <w:tab w:pos="465" w:val="left" w:leader="none"/>
                <w:tab w:pos="466" w:val="left" w:leader="none"/>
              </w:tabs>
              <w:spacing w:line="240" w:lineRule="auto" w:before="0" w:after="0"/>
              <w:ind w:left="465" w:right="461" w:hanging="360"/>
              <w:jc w:val="left"/>
              <w:rPr>
                <w:sz w:val="20"/>
              </w:rPr>
            </w:pPr>
            <w:r>
              <w:rPr>
                <w:sz w:val="20"/>
              </w:rPr>
              <w:t>Interacción entre los estudiantes con sus organizaciones sociales para realizar prácticas</w:t>
            </w:r>
            <w:r>
              <w:rPr>
                <w:spacing w:val="-2"/>
                <w:sz w:val="20"/>
              </w:rPr>
              <w:t> </w:t>
            </w:r>
            <w:r>
              <w:rPr>
                <w:sz w:val="20"/>
              </w:rPr>
              <w:t>comunitarias.</w:t>
            </w:r>
          </w:p>
          <w:p>
            <w:pPr>
              <w:pStyle w:val="TableParagraph"/>
              <w:numPr>
                <w:ilvl w:val="0"/>
                <w:numId w:val="26"/>
              </w:numPr>
              <w:tabs>
                <w:tab w:pos="465" w:val="left" w:leader="none"/>
                <w:tab w:pos="466" w:val="left" w:leader="none"/>
              </w:tabs>
              <w:spacing w:line="240" w:lineRule="auto" w:before="0" w:after="0"/>
              <w:ind w:left="465" w:right="201" w:hanging="360"/>
              <w:jc w:val="left"/>
              <w:rPr>
                <w:sz w:val="20"/>
              </w:rPr>
            </w:pPr>
            <w:r>
              <w:rPr>
                <w:sz w:val="20"/>
              </w:rPr>
              <w:t>La Existencia de tecnologías ancestrales que aún se aplica en las comunidades, merecen su atención para la</w:t>
            </w:r>
            <w:r>
              <w:rPr>
                <w:spacing w:val="-2"/>
                <w:sz w:val="20"/>
              </w:rPr>
              <w:t> </w:t>
            </w:r>
            <w:r>
              <w:rPr>
                <w:sz w:val="20"/>
              </w:rPr>
              <w:t>investigación.</w:t>
            </w:r>
          </w:p>
          <w:p>
            <w:pPr>
              <w:pStyle w:val="TableParagraph"/>
              <w:numPr>
                <w:ilvl w:val="0"/>
                <w:numId w:val="26"/>
              </w:numPr>
              <w:tabs>
                <w:tab w:pos="465" w:val="left" w:leader="none"/>
                <w:tab w:pos="466" w:val="left" w:leader="none"/>
              </w:tabs>
              <w:spacing w:line="240" w:lineRule="auto" w:before="0" w:after="0"/>
              <w:ind w:left="465" w:right="150" w:hanging="360"/>
              <w:jc w:val="left"/>
              <w:rPr>
                <w:sz w:val="20"/>
              </w:rPr>
            </w:pPr>
            <w:r>
              <w:rPr>
                <w:sz w:val="20"/>
              </w:rPr>
              <w:t>Falta de políticas de difusión de la Cosmovisión de nuestros pueblos</w:t>
            </w:r>
            <w:r>
              <w:rPr>
                <w:spacing w:val="-16"/>
                <w:sz w:val="20"/>
              </w:rPr>
              <w:t> </w:t>
            </w:r>
            <w:r>
              <w:rPr>
                <w:sz w:val="20"/>
              </w:rPr>
              <w:t>originarios a través de la Universidad a todo el mundo mediante los medios de</w:t>
            </w:r>
            <w:r>
              <w:rPr>
                <w:spacing w:val="-8"/>
                <w:sz w:val="20"/>
              </w:rPr>
              <w:t> </w:t>
            </w:r>
            <w:r>
              <w:rPr>
                <w:sz w:val="20"/>
              </w:rPr>
              <w:t>comunicación.</w:t>
            </w:r>
          </w:p>
          <w:p>
            <w:pPr>
              <w:pStyle w:val="TableParagraph"/>
              <w:numPr>
                <w:ilvl w:val="0"/>
                <w:numId w:val="26"/>
              </w:numPr>
              <w:tabs>
                <w:tab w:pos="465" w:val="left" w:leader="none"/>
                <w:tab w:pos="466" w:val="left" w:leader="none"/>
              </w:tabs>
              <w:spacing w:line="240" w:lineRule="auto" w:before="0" w:after="0"/>
              <w:ind w:left="465" w:right="758" w:hanging="360"/>
              <w:jc w:val="left"/>
              <w:rPr>
                <w:sz w:val="20"/>
              </w:rPr>
            </w:pPr>
            <w:r>
              <w:rPr>
                <w:sz w:val="20"/>
              </w:rPr>
              <w:t>Formación continúa de la</w:t>
            </w:r>
            <w:r>
              <w:rPr>
                <w:spacing w:val="-17"/>
                <w:sz w:val="20"/>
              </w:rPr>
              <w:t> </w:t>
            </w:r>
            <w:r>
              <w:rPr>
                <w:sz w:val="20"/>
              </w:rPr>
              <w:t>comunidad universitaria en lengua originaria e identidad cultural quechua.</w:t>
            </w:r>
          </w:p>
          <w:p>
            <w:pPr>
              <w:pStyle w:val="TableParagraph"/>
              <w:numPr>
                <w:ilvl w:val="0"/>
                <w:numId w:val="26"/>
              </w:numPr>
              <w:tabs>
                <w:tab w:pos="465" w:val="left" w:leader="none"/>
                <w:tab w:pos="466" w:val="left" w:leader="none"/>
              </w:tabs>
              <w:spacing w:line="244" w:lineRule="exact" w:before="0" w:after="0"/>
              <w:ind w:left="465" w:right="0" w:hanging="361"/>
              <w:jc w:val="left"/>
              <w:rPr>
                <w:sz w:val="20"/>
              </w:rPr>
            </w:pPr>
            <w:r>
              <w:rPr>
                <w:sz w:val="20"/>
              </w:rPr>
              <w:t>Formación de profesional con</w:t>
            </w:r>
            <w:r>
              <w:rPr>
                <w:spacing w:val="33"/>
                <w:sz w:val="20"/>
              </w:rPr>
              <w:t> </w:t>
            </w:r>
            <w:r>
              <w:rPr>
                <w:sz w:val="20"/>
              </w:rPr>
              <w:t>pensamiento</w:t>
            </w:r>
          </w:p>
          <w:p>
            <w:pPr>
              <w:pStyle w:val="TableParagraph"/>
              <w:spacing w:line="225" w:lineRule="exact" w:before="1"/>
              <w:ind w:left="465"/>
              <w:rPr>
                <w:sz w:val="20"/>
              </w:rPr>
            </w:pPr>
            <w:r>
              <w:rPr>
                <w:sz w:val="20"/>
              </w:rPr>
              <w:t>crítico reflexivo en la UNIBOL Quechua</w:t>
            </w:r>
          </w:p>
        </w:tc>
      </w:tr>
    </w:tbl>
    <w:p>
      <w:pPr>
        <w:pStyle w:val="BodyText"/>
        <w:rPr>
          <w:rFonts w:ascii="Times New Roman"/>
          <w:b/>
          <w:sz w:val="20"/>
        </w:rPr>
      </w:pPr>
    </w:p>
    <w:p>
      <w:pPr>
        <w:pStyle w:val="BodyText"/>
        <w:rPr>
          <w:rFonts w:ascii="Times New Roman"/>
          <w:b/>
          <w:sz w:val="20"/>
        </w:rPr>
      </w:pPr>
    </w:p>
    <w:p>
      <w:pPr>
        <w:pStyle w:val="BodyText"/>
        <w:spacing w:before="10"/>
        <w:rPr>
          <w:rFonts w:ascii="Times New Roman"/>
          <w:b/>
          <w:sz w:val="10"/>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39"/>
        <w:gridCol w:w="3397"/>
      </w:tblGrid>
      <w:tr>
        <w:trPr>
          <w:trHeight w:val="337" w:hRule="atLeast"/>
        </w:trPr>
        <w:tc>
          <w:tcPr>
            <w:tcW w:w="6239" w:type="dxa"/>
            <w:shd w:val="clear" w:color="auto" w:fill="006FC0"/>
          </w:tcPr>
          <w:p>
            <w:pPr>
              <w:pStyle w:val="TableParagraph"/>
              <w:spacing w:line="318" w:lineRule="exact"/>
              <w:ind w:left="107"/>
              <w:rPr>
                <w:rFonts w:ascii="Arial Black"/>
                <w:sz w:val="24"/>
              </w:rPr>
            </w:pPr>
            <w:r>
              <w:rPr>
                <w:rFonts w:ascii="Arial Black"/>
                <w:color w:val="F1F1F1"/>
                <w:sz w:val="24"/>
              </w:rPr>
              <w:t>Debilidades</w:t>
            </w:r>
          </w:p>
        </w:tc>
        <w:tc>
          <w:tcPr>
            <w:tcW w:w="3397" w:type="dxa"/>
            <w:shd w:val="clear" w:color="auto" w:fill="006FC0"/>
          </w:tcPr>
          <w:p>
            <w:pPr>
              <w:pStyle w:val="TableParagraph"/>
              <w:spacing w:line="318" w:lineRule="exact"/>
              <w:ind w:left="104"/>
              <w:rPr>
                <w:rFonts w:ascii="Arial Black"/>
                <w:sz w:val="24"/>
              </w:rPr>
            </w:pPr>
            <w:r>
              <w:rPr>
                <w:rFonts w:ascii="Arial Black"/>
                <w:color w:val="F1F1F1"/>
                <w:sz w:val="24"/>
              </w:rPr>
              <w:t>Amenazas</w:t>
            </w:r>
          </w:p>
        </w:tc>
      </w:tr>
      <w:tr>
        <w:trPr>
          <w:trHeight w:val="3761" w:hRule="atLeast"/>
        </w:trPr>
        <w:tc>
          <w:tcPr>
            <w:tcW w:w="6239" w:type="dxa"/>
          </w:tcPr>
          <w:p>
            <w:pPr>
              <w:pStyle w:val="TableParagraph"/>
              <w:numPr>
                <w:ilvl w:val="0"/>
                <w:numId w:val="27"/>
              </w:numPr>
              <w:tabs>
                <w:tab w:pos="815" w:val="left" w:leader="none"/>
                <w:tab w:pos="816" w:val="left" w:leader="none"/>
              </w:tabs>
              <w:spacing w:line="237" w:lineRule="auto" w:before="1" w:after="0"/>
              <w:ind w:left="107" w:right="175" w:firstLine="0"/>
              <w:jc w:val="left"/>
              <w:rPr>
                <w:sz w:val="22"/>
              </w:rPr>
            </w:pPr>
            <w:r>
              <w:rPr>
                <w:sz w:val="22"/>
              </w:rPr>
              <w:t>Carencia de imagen institucional en el contexto  nacional e internacional de la Unibol</w:t>
            </w:r>
            <w:r>
              <w:rPr>
                <w:spacing w:val="-1"/>
                <w:sz w:val="22"/>
              </w:rPr>
              <w:t> </w:t>
            </w:r>
            <w:r>
              <w:rPr>
                <w:sz w:val="22"/>
              </w:rPr>
              <w:t>Quechua</w:t>
            </w:r>
          </w:p>
          <w:p>
            <w:pPr>
              <w:pStyle w:val="TableParagraph"/>
              <w:numPr>
                <w:ilvl w:val="0"/>
                <w:numId w:val="27"/>
              </w:numPr>
              <w:tabs>
                <w:tab w:pos="815" w:val="left" w:leader="none"/>
                <w:tab w:pos="816" w:val="left" w:leader="none"/>
              </w:tabs>
              <w:spacing w:line="240" w:lineRule="auto" w:before="2" w:after="0"/>
              <w:ind w:left="107" w:right="281" w:firstLine="0"/>
              <w:jc w:val="left"/>
              <w:rPr>
                <w:sz w:val="22"/>
              </w:rPr>
            </w:pPr>
            <w:r>
              <w:rPr>
                <w:sz w:val="22"/>
              </w:rPr>
              <w:t>Falta de espacios de interrelación entre las Universidades Indígenas (Aymara, Quechua,</w:t>
            </w:r>
            <w:r>
              <w:rPr>
                <w:spacing w:val="-1"/>
                <w:sz w:val="22"/>
              </w:rPr>
              <w:t> </w:t>
            </w:r>
            <w:r>
              <w:rPr>
                <w:sz w:val="22"/>
              </w:rPr>
              <w:t>Guaraní).</w:t>
            </w:r>
          </w:p>
          <w:p>
            <w:pPr>
              <w:pStyle w:val="TableParagraph"/>
              <w:numPr>
                <w:ilvl w:val="0"/>
                <w:numId w:val="27"/>
              </w:numPr>
              <w:tabs>
                <w:tab w:pos="815" w:val="left" w:leader="none"/>
                <w:tab w:pos="816" w:val="left" w:leader="none"/>
              </w:tabs>
              <w:spacing w:line="240" w:lineRule="auto" w:before="0" w:after="0"/>
              <w:ind w:left="815" w:right="0" w:hanging="709"/>
              <w:jc w:val="left"/>
              <w:rPr>
                <w:sz w:val="22"/>
              </w:rPr>
            </w:pPr>
            <w:r>
              <w:rPr>
                <w:sz w:val="22"/>
              </w:rPr>
              <w:t>Falta de compromiso</w:t>
            </w:r>
            <w:r>
              <w:rPr>
                <w:spacing w:val="46"/>
                <w:sz w:val="22"/>
              </w:rPr>
              <w:t> </w:t>
            </w:r>
            <w:r>
              <w:rPr>
                <w:sz w:val="22"/>
              </w:rPr>
              <w:t>Institucional</w:t>
            </w:r>
          </w:p>
          <w:p>
            <w:pPr>
              <w:pStyle w:val="TableParagraph"/>
              <w:numPr>
                <w:ilvl w:val="0"/>
                <w:numId w:val="27"/>
              </w:numPr>
              <w:tabs>
                <w:tab w:pos="815" w:val="left" w:leader="none"/>
                <w:tab w:pos="816" w:val="left" w:leader="none"/>
              </w:tabs>
              <w:spacing w:line="240" w:lineRule="auto" w:before="1" w:after="0"/>
              <w:ind w:left="107" w:right="1181" w:firstLine="0"/>
              <w:jc w:val="left"/>
              <w:rPr>
                <w:sz w:val="22"/>
              </w:rPr>
            </w:pPr>
            <w:r>
              <w:rPr>
                <w:sz w:val="22"/>
              </w:rPr>
              <w:t>Escasez de pensamiento crítico reflexivo en la comunidad Universitaria</w:t>
            </w:r>
          </w:p>
          <w:p>
            <w:pPr>
              <w:pStyle w:val="TableParagraph"/>
              <w:numPr>
                <w:ilvl w:val="0"/>
                <w:numId w:val="27"/>
              </w:numPr>
              <w:tabs>
                <w:tab w:pos="815" w:val="left" w:leader="none"/>
                <w:tab w:pos="816" w:val="left" w:leader="none"/>
              </w:tabs>
              <w:spacing w:line="240" w:lineRule="auto" w:before="0" w:after="0"/>
              <w:ind w:left="107" w:right="914" w:firstLine="0"/>
              <w:jc w:val="left"/>
              <w:rPr>
                <w:sz w:val="22"/>
              </w:rPr>
            </w:pPr>
            <w:r>
              <w:rPr>
                <w:sz w:val="22"/>
              </w:rPr>
              <w:t>Retrasos en la aprobación de políticas públicas, no permiten la consolidación de las UNIBOL. a rango de</w:t>
            </w:r>
            <w:r>
              <w:rPr>
                <w:spacing w:val="-8"/>
                <w:sz w:val="22"/>
              </w:rPr>
              <w:t> </w:t>
            </w:r>
            <w:r>
              <w:rPr>
                <w:sz w:val="22"/>
              </w:rPr>
              <w:t>ley.</w:t>
            </w:r>
          </w:p>
          <w:p>
            <w:pPr>
              <w:pStyle w:val="TableParagraph"/>
              <w:numPr>
                <w:ilvl w:val="0"/>
                <w:numId w:val="27"/>
              </w:numPr>
              <w:tabs>
                <w:tab w:pos="815" w:val="left" w:leader="none"/>
                <w:tab w:pos="816" w:val="left" w:leader="none"/>
              </w:tabs>
              <w:spacing w:line="237" w:lineRule="auto" w:before="3" w:after="0"/>
              <w:ind w:left="107" w:right="177" w:firstLine="0"/>
              <w:jc w:val="left"/>
              <w:rPr>
                <w:sz w:val="22"/>
              </w:rPr>
            </w:pPr>
            <w:r>
              <w:rPr>
                <w:sz w:val="22"/>
              </w:rPr>
              <w:t>La existencia de instituciones y espacios que desconocen o no promueven lengua y cultura hacen que su uso sea</w:t>
            </w:r>
            <w:r>
              <w:rPr>
                <w:spacing w:val="-14"/>
                <w:sz w:val="22"/>
              </w:rPr>
              <w:t> </w:t>
            </w:r>
            <w:r>
              <w:rPr>
                <w:sz w:val="22"/>
              </w:rPr>
              <w:t>limitado.</w:t>
            </w:r>
          </w:p>
          <w:p>
            <w:pPr>
              <w:pStyle w:val="TableParagraph"/>
              <w:numPr>
                <w:ilvl w:val="0"/>
                <w:numId w:val="27"/>
              </w:numPr>
              <w:tabs>
                <w:tab w:pos="815" w:val="left" w:leader="none"/>
                <w:tab w:pos="816" w:val="left" w:leader="none"/>
              </w:tabs>
              <w:spacing w:line="240" w:lineRule="auto" w:before="1" w:after="0"/>
              <w:ind w:left="815" w:right="0" w:hanging="709"/>
              <w:jc w:val="left"/>
              <w:rPr>
                <w:sz w:val="22"/>
              </w:rPr>
            </w:pPr>
            <w:r>
              <w:rPr>
                <w:sz w:val="22"/>
              </w:rPr>
              <w:t>Falta de aplicaciones de costumbres</w:t>
            </w:r>
            <w:r>
              <w:rPr>
                <w:spacing w:val="-2"/>
                <w:sz w:val="22"/>
              </w:rPr>
              <w:t> </w:t>
            </w:r>
            <w:r>
              <w:rPr>
                <w:sz w:val="22"/>
              </w:rPr>
              <w:t>culturales.</w:t>
            </w:r>
          </w:p>
          <w:p>
            <w:pPr>
              <w:pStyle w:val="TableParagraph"/>
              <w:numPr>
                <w:ilvl w:val="0"/>
                <w:numId w:val="27"/>
              </w:numPr>
              <w:tabs>
                <w:tab w:pos="815" w:val="left" w:leader="none"/>
                <w:tab w:pos="816" w:val="left" w:leader="none"/>
              </w:tabs>
              <w:spacing w:line="270" w:lineRule="atLeast" w:before="0" w:after="0"/>
              <w:ind w:left="107" w:right="111" w:firstLine="0"/>
              <w:jc w:val="left"/>
              <w:rPr>
                <w:sz w:val="22"/>
              </w:rPr>
            </w:pPr>
            <w:r>
              <w:rPr>
                <w:sz w:val="22"/>
              </w:rPr>
              <w:t>Falta de profundización del proceso de tierra y territorio de la Nación</w:t>
            </w:r>
            <w:r>
              <w:rPr>
                <w:spacing w:val="-3"/>
                <w:sz w:val="22"/>
              </w:rPr>
              <w:t> </w:t>
            </w:r>
            <w:r>
              <w:rPr>
                <w:sz w:val="22"/>
              </w:rPr>
              <w:t>Quechua</w:t>
            </w:r>
          </w:p>
        </w:tc>
        <w:tc>
          <w:tcPr>
            <w:tcW w:w="3397" w:type="dxa"/>
          </w:tcPr>
          <w:p>
            <w:pPr>
              <w:pStyle w:val="TableParagraph"/>
              <w:numPr>
                <w:ilvl w:val="0"/>
                <w:numId w:val="28"/>
              </w:numPr>
              <w:tabs>
                <w:tab w:pos="812" w:val="left" w:leader="none"/>
                <w:tab w:pos="813" w:val="left" w:leader="none"/>
              </w:tabs>
              <w:spacing w:line="240" w:lineRule="auto" w:before="0" w:after="0"/>
              <w:ind w:left="104" w:right="372" w:firstLine="0"/>
              <w:jc w:val="left"/>
              <w:rPr>
                <w:sz w:val="22"/>
              </w:rPr>
            </w:pPr>
            <w:r>
              <w:rPr>
                <w:sz w:val="22"/>
              </w:rPr>
              <w:t>Cambio de gobierno que no comparte con el enfoque ideológico y político de la Universidad.</w:t>
            </w:r>
          </w:p>
          <w:p>
            <w:pPr>
              <w:pStyle w:val="TableParagraph"/>
              <w:numPr>
                <w:ilvl w:val="0"/>
                <w:numId w:val="28"/>
              </w:numPr>
              <w:tabs>
                <w:tab w:pos="812" w:val="left" w:leader="none"/>
                <w:tab w:pos="813" w:val="left" w:leader="none"/>
              </w:tabs>
              <w:spacing w:line="240" w:lineRule="auto" w:before="0" w:after="0"/>
              <w:ind w:left="104" w:right="700" w:firstLine="0"/>
              <w:jc w:val="left"/>
              <w:rPr>
                <w:sz w:val="22"/>
              </w:rPr>
            </w:pPr>
            <w:r>
              <w:rPr>
                <w:sz w:val="22"/>
              </w:rPr>
              <w:t>Elementos culturales foráneos que distorsionan la esencia misma de la nación quechua.</w:t>
            </w:r>
          </w:p>
          <w:p>
            <w:pPr>
              <w:pStyle w:val="TableParagraph"/>
              <w:numPr>
                <w:ilvl w:val="0"/>
                <w:numId w:val="28"/>
              </w:numPr>
              <w:tabs>
                <w:tab w:pos="812" w:val="left" w:leader="none"/>
                <w:tab w:pos="813" w:val="left" w:leader="none"/>
              </w:tabs>
              <w:spacing w:line="240" w:lineRule="auto" w:before="0" w:after="0"/>
              <w:ind w:left="104" w:right="462" w:firstLine="0"/>
              <w:jc w:val="left"/>
              <w:rPr>
                <w:sz w:val="22"/>
              </w:rPr>
            </w:pPr>
            <w:r>
              <w:rPr>
                <w:sz w:val="22"/>
              </w:rPr>
              <w:t>Desacuerdos de organizaciones matrices con las políticas</w:t>
            </w:r>
            <w:r>
              <w:rPr>
                <w:spacing w:val="-2"/>
                <w:sz w:val="22"/>
              </w:rPr>
              <w:t> </w:t>
            </w:r>
            <w:r>
              <w:rPr>
                <w:sz w:val="22"/>
              </w:rPr>
              <w:t>sociales.</w:t>
            </w:r>
          </w:p>
        </w:tc>
      </w:tr>
    </w:tbl>
    <w:p>
      <w:pPr>
        <w:spacing w:after="0" w:line="240" w:lineRule="auto"/>
        <w:jc w:val="left"/>
        <w:rPr>
          <w:sz w:val="22"/>
        </w:rPr>
        <w:sectPr>
          <w:pgSz w:w="11910" w:h="16840"/>
          <w:pgMar w:header="0" w:footer="922" w:top="1400" w:bottom="1200" w:left="620" w:right="280"/>
        </w:sectPr>
      </w:pPr>
    </w:p>
    <w:p>
      <w:pPr>
        <w:spacing w:before="74" w:after="4"/>
        <w:ind w:left="1082" w:right="0" w:firstLine="0"/>
        <w:jc w:val="left"/>
        <w:rPr>
          <w:rFonts w:ascii="Times New Roman"/>
          <w:b/>
          <w:sz w:val="24"/>
        </w:rPr>
      </w:pPr>
      <w:r>
        <w:rPr>
          <w:rFonts w:ascii="Times New Roman"/>
          <w:b/>
          <w:sz w:val="24"/>
        </w:rPr>
        <w:t>Sub Nivel Infraestructura Y Equipamiento</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5"/>
        <w:gridCol w:w="4536"/>
      </w:tblGrid>
      <w:tr>
        <w:trPr>
          <w:trHeight w:val="311" w:hRule="atLeast"/>
        </w:trPr>
        <w:tc>
          <w:tcPr>
            <w:tcW w:w="5665" w:type="dxa"/>
            <w:shd w:val="clear" w:color="auto" w:fill="006FC0"/>
          </w:tcPr>
          <w:p>
            <w:pPr>
              <w:pStyle w:val="TableParagraph"/>
              <w:spacing w:line="289" w:lineRule="exact" w:before="2"/>
              <w:ind w:left="105"/>
              <w:rPr>
                <w:rFonts w:ascii="Arial Black"/>
                <w:sz w:val="22"/>
              </w:rPr>
            </w:pPr>
            <w:r>
              <w:rPr>
                <w:rFonts w:ascii="Arial Black"/>
                <w:color w:val="F1F1F1"/>
                <w:sz w:val="22"/>
              </w:rPr>
              <w:t>Fortalezas</w:t>
            </w:r>
          </w:p>
        </w:tc>
        <w:tc>
          <w:tcPr>
            <w:tcW w:w="4536" w:type="dxa"/>
            <w:shd w:val="clear" w:color="auto" w:fill="006FC0"/>
          </w:tcPr>
          <w:p>
            <w:pPr>
              <w:pStyle w:val="TableParagraph"/>
              <w:spacing w:line="289" w:lineRule="exact" w:before="2"/>
              <w:ind w:left="108"/>
              <w:rPr>
                <w:rFonts w:ascii="Arial Black"/>
                <w:sz w:val="22"/>
              </w:rPr>
            </w:pPr>
            <w:r>
              <w:rPr>
                <w:rFonts w:ascii="Arial Black"/>
                <w:color w:val="F1F1F1"/>
                <w:sz w:val="22"/>
              </w:rPr>
              <w:t>Oportunidades</w:t>
            </w:r>
          </w:p>
        </w:tc>
      </w:tr>
      <w:tr>
        <w:trPr>
          <w:trHeight w:val="1953" w:hRule="atLeast"/>
        </w:trPr>
        <w:tc>
          <w:tcPr>
            <w:tcW w:w="5665" w:type="dxa"/>
          </w:tcPr>
          <w:p>
            <w:pPr>
              <w:pStyle w:val="TableParagraph"/>
              <w:numPr>
                <w:ilvl w:val="0"/>
                <w:numId w:val="29"/>
              </w:numPr>
              <w:tabs>
                <w:tab w:pos="465" w:val="left" w:leader="none"/>
                <w:tab w:pos="466" w:val="left" w:leader="none"/>
              </w:tabs>
              <w:spacing w:line="240" w:lineRule="auto" w:before="0" w:after="0"/>
              <w:ind w:left="465" w:right="454" w:hanging="360"/>
              <w:jc w:val="left"/>
              <w:rPr>
                <w:sz w:val="20"/>
              </w:rPr>
            </w:pPr>
            <w:r>
              <w:rPr>
                <w:sz w:val="20"/>
              </w:rPr>
              <w:t>Disposición de recursos económicos para infraestructura</w:t>
            </w:r>
            <w:r>
              <w:rPr>
                <w:spacing w:val="-23"/>
                <w:sz w:val="20"/>
              </w:rPr>
              <w:t> </w:t>
            </w:r>
            <w:r>
              <w:rPr>
                <w:sz w:val="20"/>
              </w:rPr>
              <w:t>y equipamiento</w:t>
            </w:r>
          </w:p>
          <w:p>
            <w:pPr>
              <w:pStyle w:val="TableParagraph"/>
              <w:numPr>
                <w:ilvl w:val="0"/>
                <w:numId w:val="29"/>
              </w:numPr>
              <w:tabs>
                <w:tab w:pos="465" w:val="left" w:leader="none"/>
                <w:tab w:pos="466" w:val="left" w:leader="none"/>
              </w:tabs>
              <w:spacing w:line="240" w:lineRule="auto" w:before="0" w:after="0"/>
              <w:ind w:left="465" w:right="916" w:hanging="360"/>
              <w:jc w:val="left"/>
              <w:rPr>
                <w:sz w:val="20"/>
              </w:rPr>
            </w:pPr>
            <w:r>
              <w:rPr>
                <w:sz w:val="20"/>
              </w:rPr>
              <w:t>Se cuenta con Equipamiento e infraestructura</w:t>
            </w:r>
            <w:r>
              <w:rPr>
                <w:spacing w:val="-19"/>
                <w:sz w:val="20"/>
              </w:rPr>
              <w:t> </w:t>
            </w:r>
            <w:r>
              <w:rPr>
                <w:sz w:val="20"/>
              </w:rPr>
              <w:t>básica institucional.</w:t>
            </w:r>
          </w:p>
          <w:p>
            <w:pPr>
              <w:pStyle w:val="TableParagraph"/>
              <w:numPr>
                <w:ilvl w:val="0"/>
                <w:numId w:val="29"/>
              </w:numPr>
              <w:tabs>
                <w:tab w:pos="465" w:val="left" w:leader="none"/>
                <w:tab w:pos="466" w:val="left" w:leader="none"/>
              </w:tabs>
              <w:spacing w:line="240" w:lineRule="auto" w:before="0" w:after="0"/>
              <w:ind w:left="465" w:right="0" w:hanging="361"/>
              <w:jc w:val="left"/>
              <w:rPr>
                <w:sz w:val="20"/>
              </w:rPr>
            </w:pPr>
            <w:r>
              <w:rPr>
                <w:sz w:val="20"/>
              </w:rPr>
              <w:t>Existe infraestructura para residencia</w:t>
            </w:r>
            <w:r>
              <w:rPr>
                <w:spacing w:val="-4"/>
                <w:sz w:val="20"/>
              </w:rPr>
              <w:t> </w:t>
            </w:r>
            <w:r>
              <w:rPr>
                <w:sz w:val="20"/>
              </w:rPr>
              <w:t>estudiantil</w:t>
            </w:r>
          </w:p>
          <w:p>
            <w:pPr>
              <w:pStyle w:val="TableParagraph"/>
              <w:numPr>
                <w:ilvl w:val="0"/>
                <w:numId w:val="29"/>
              </w:numPr>
              <w:tabs>
                <w:tab w:pos="465" w:val="left" w:leader="none"/>
                <w:tab w:pos="466" w:val="left" w:leader="none"/>
              </w:tabs>
              <w:spacing w:line="240" w:lineRule="auto" w:before="0" w:after="0"/>
              <w:ind w:left="465" w:right="0" w:hanging="361"/>
              <w:jc w:val="left"/>
              <w:rPr>
                <w:sz w:val="20"/>
              </w:rPr>
            </w:pPr>
            <w:r>
              <w:rPr>
                <w:sz w:val="20"/>
              </w:rPr>
              <w:t>Cuenta con medios de transporte propio de la</w:t>
            </w:r>
            <w:r>
              <w:rPr>
                <w:spacing w:val="-14"/>
                <w:sz w:val="20"/>
              </w:rPr>
              <w:t> </w:t>
            </w:r>
            <w:r>
              <w:rPr>
                <w:sz w:val="20"/>
              </w:rPr>
              <w:t>universidad</w:t>
            </w:r>
          </w:p>
        </w:tc>
        <w:tc>
          <w:tcPr>
            <w:tcW w:w="4536" w:type="dxa"/>
          </w:tcPr>
          <w:p>
            <w:pPr>
              <w:pStyle w:val="TableParagraph"/>
              <w:numPr>
                <w:ilvl w:val="0"/>
                <w:numId w:val="30"/>
              </w:numPr>
              <w:tabs>
                <w:tab w:pos="468" w:val="left" w:leader="none"/>
                <w:tab w:pos="469" w:val="left" w:leader="none"/>
              </w:tabs>
              <w:spacing w:line="240" w:lineRule="auto" w:before="0" w:after="0"/>
              <w:ind w:left="468" w:right="430" w:hanging="360"/>
              <w:jc w:val="left"/>
              <w:rPr>
                <w:sz w:val="20"/>
              </w:rPr>
            </w:pPr>
            <w:r>
              <w:rPr>
                <w:sz w:val="20"/>
              </w:rPr>
              <w:t>Posibilidad de Convenios</w:t>
            </w:r>
            <w:r>
              <w:rPr>
                <w:spacing w:val="-16"/>
                <w:sz w:val="20"/>
              </w:rPr>
              <w:t> </w:t>
            </w:r>
            <w:r>
              <w:rPr>
                <w:sz w:val="20"/>
              </w:rPr>
              <w:t>Interinstitucionales para</w:t>
            </w:r>
            <w:r>
              <w:rPr>
                <w:spacing w:val="-1"/>
                <w:sz w:val="20"/>
              </w:rPr>
              <w:t> </w:t>
            </w:r>
            <w:r>
              <w:rPr>
                <w:sz w:val="20"/>
              </w:rPr>
              <w:t>equipamiento</w:t>
            </w:r>
          </w:p>
          <w:p>
            <w:pPr>
              <w:pStyle w:val="TableParagraph"/>
              <w:numPr>
                <w:ilvl w:val="0"/>
                <w:numId w:val="30"/>
              </w:numPr>
              <w:tabs>
                <w:tab w:pos="468" w:val="left" w:leader="none"/>
                <w:tab w:pos="469" w:val="left" w:leader="none"/>
              </w:tabs>
              <w:spacing w:line="240" w:lineRule="auto" w:before="0" w:after="0"/>
              <w:ind w:left="468" w:right="166" w:hanging="360"/>
              <w:jc w:val="left"/>
              <w:rPr>
                <w:sz w:val="20"/>
              </w:rPr>
            </w:pPr>
            <w:r>
              <w:rPr>
                <w:sz w:val="20"/>
              </w:rPr>
              <w:t>Disposición de financiamientos de instituciones u organizaciones</w:t>
            </w:r>
            <w:r>
              <w:rPr>
                <w:spacing w:val="-3"/>
                <w:sz w:val="20"/>
              </w:rPr>
              <w:t> </w:t>
            </w:r>
            <w:r>
              <w:rPr>
                <w:sz w:val="20"/>
              </w:rPr>
              <w:t>externas.</w:t>
            </w:r>
          </w:p>
          <w:p>
            <w:pPr>
              <w:pStyle w:val="TableParagraph"/>
              <w:numPr>
                <w:ilvl w:val="0"/>
                <w:numId w:val="30"/>
              </w:numPr>
              <w:tabs>
                <w:tab w:pos="468" w:val="left" w:leader="none"/>
                <w:tab w:pos="469" w:val="left" w:leader="none"/>
              </w:tabs>
              <w:spacing w:line="240" w:lineRule="auto" w:before="0" w:after="0"/>
              <w:ind w:left="468" w:right="126" w:hanging="360"/>
              <w:jc w:val="left"/>
              <w:rPr>
                <w:sz w:val="20"/>
              </w:rPr>
            </w:pPr>
            <w:r>
              <w:rPr>
                <w:sz w:val="20"/>
              </w:rPr>
              <w:t>Posibilidad de captar predios en diferentes</w:t>
            </w:r>
            <w:r>
              <w:rPr>
                <w:spacing w:val="-18"/>
                <w:sz w:val="20"/>
              </w:rPr>
              <w:t> </w:t>
            </w:r>
            <w:r>
              <w:rPr>
                <w:sz w:val="20"/>
              </w:rPr>
              <w:t>pisos ecológicos para la producción e</w:t>
            </w:r>
            <w:r>
              <w:rPr>
                <w:spacing w:val="-11"/>
                <w:sz w:val="20"/>
              </w:rPr>
              <w:t> </w:t>
            </w:r>
            <w:r>
              <w:rPr>
                <w:sz w:val="20"/>
              </w:rPr>
              <w:t>investigación.</w:t>
            </w:r>
          </w:p>
          <w:p>
            <w:pPr>
              <w:pStyle w:val="TableParagraph"/>
              <w:numPr>
                <w:ilvl w:val="0"/>
                <w:numId w:val="30"/>
              </w:numPr>
              <w:tabs>
                <w:tab w:pos="468" w:val="left" w:leader="none"/>
                <w:tab w:pos="469" w:val="left" w:leader="none"/>
              </w:tabs>
              <w:spacing w:line="243" w:lineRule="exact" w:before="0" w:after="0"/>
              <w:ind w:left="468" w:right="0" w:hanging="361"/>
              <w:jc w:val="left"/>
              <w:rPr>
                <w:sz w:val="20"/>
              </w:rPr>
            </w:pPr>
            <w:r>
              <w:rPr>
                <w:sz w:val="20"/>
              </w:rPr>
              <w:t>Recuperación y revalorización de</w:t>
            </w:r>
            <w:r>
              <w:rPr>
                <w:spacing w:val="-3"/>
                <w:sz w:val="20"/>
              </w:rPr>
              <w:t> </w:t>
            </w:r>
            <w:r>
              <w:rPr>
                <w:sz w:val="20"/>
              </w:rPr>
              <w:t>tecnologías</w:t>
            </w:r>
          </w:p>
          <w:p>
            <w:pPr>
              <w:pStyle w:val="TableParagraph"/>
              <w:spacing w:line="225" w:lineRule="exact"/>
              <w:ind w:left="468"/>
              <w:rPr>
                <w:sz w:val="20"/>
              </w:rPr>
            </w:pPr>
            <w:r>
              <w:rPr>
                <w:sz w:val="20"/>
              </w:rPr>
              <w:t>locales</w:t>
            </w:r>
          </w:p>
        </w:tc>
      </w:tr>
    </w:tbl>
    <w:p>
      <w:pPr>
        <w:pStyle w:val="BodyText"/>
        <w:rPr>
          <w:rFonts w:ascii="Times New Roman"/>
          <w:b/>
          <w:sz w:val="20"/>
        </w:rPr>
      </w:pPr>
    </w:p>
    <w:p>
      <w:pPr>
        <w:pStyle w:val="BodyText"/>
        <w:spacing w:before="10"/>
        <w:rPr>
          <w:rFonts w:ascii="Times New Roman"/>
          <w:b/>
          <w:sz w:val="11"/>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47"/>
        <w:gridCol w:w="3255"/>
      </w:tblGrid>
      <w:tr>
        <w:trPr>
          <w:trHeight w:val="311" w:hRule="atLeast"/>
        </w:trPr>
        <w:tc>
          <w:tcPr>
            <w:tcW w:w="6947" w:type="dxa"/>
            <w:shd w:val="clear" w:color="auto" w:fill="006FC0"/>
          </w:tcPr>
          <w:p>
            <w:pPr>
              <w:pStyle w:val="TableParagraph"/>
              <w:spacing w:line="292" w:lineRule="exact"/>
              <w:ind w:left="107"/>
              <w:rPr>
                <w:rFonts w:ascii="Arial Black"/>
                <w:sz w:val="22"/>
              </w:rPr>
            </w:pPr>
            <w:r>
              <w:rPr>
                <w:rFonts w:ascii="Arial Black"/>
                <w:color w:val="F1F1F1"/>
                <w:sz w:val="22"/>
              </w:rPr>
              <w:t>Debilidades</w:t>
            </w:r>
          </w:p>
        </w:tc>
        <w:tc>
          <w:tcPr>
            <w:tcW w:w="3255" w:type="dxa"/>
            <w:shd w:val="clear" w:color="auto" w:fill="006FC0"/>
          </w:tcPr>
          <w:p>
            <w:pPr>
              <w:pStyle w:val="TableParagraph"/>
              <w:spacing w:line="292" w:lineRule="exact"/>
              <w:ind w:left="107"/>
              <w:rPr>
                <w:rFonts w:ascii="Arial Black"/>
                <w:sz w:val="22"/>
              </w:rPr>
            </w:pPr>
            <w:r>
              <w:rPr>
                <w:rFonts w:ascii="Arial Black"/>
                <w:color w:val="F1F1F1"/>
                <w:sz w:val="22"/>
              </w:rPr>
              <w:t>Amenazas</w:t>
            </w:r>
          </w:p>
        </w:tc>
      </w:tr>
      <w:tr>
        <w:trPr>
          <w:trHeight w:val="5146" w:hRule="atLeast"/>
        </w:trPr>
        <w:tc>
          <w:tcPr>
            <w:tcW w:w="6947" w:type="dxa"/>
          </w:tcPr>
          <w:p>
            <w:pPr>
              <w:pStyle w:val="TableParagraph"/>
              <w:numPr>
                <w:ilvl w:val="0"/>
                <w:numId w:val="31"/>
              </w:numPr>
              <w:tabs>
                <w:tab w:pos="467" w:val="left" w:leader="none"/>
                <w:tab w:pos="468" w:val="left" w:leader="none"/>
              </w:tabs>
              <w:spacing w:line="244" w:lineRule="exact" w:before="0" w:after="0"/>
              <w:ind w:left="467" w:right="0" w:hanging="361"/>
              <w:jc w:val="left"/>
              <w:rPr>
                <w:sz w:val="20"/>
              </w:rPr>
            </w:pPr>
            <w:r>
              <w:rPr>
                <w:sz w:val="20"/>
              </w:rPr>
              <w:t>Falta de ordenamiento predial de acuerdo a las necesidades de la</w:t>
            </w:r>
            <w:r>
              <w:rPr>
                <w:spacing w:val="-22"/>
                <w:sz w:val="20"/>
              </w:rPr>
              <w:t> </w:t>
            </w:r>
            <w:r>
              <w:rPr>
                <w:sz w:val="20"/>
              </w:rPr>
              <w:t>Universidad</w:t>
            </w:r>
          </w:p>
          <w:p>
            <w:pPr>
              <w:pStyle w:val="TableParagraph"/>
              <w:numPr>
                <w:ilvl w:val="0"/>
                <w:numId w:val="31"/>
              </w:numPr>
              <w:tabs>
                <w:tab w:pos="467" w:val="left" w:leader="none"/>
                <w:tab w:pos="468" w:val="left" w:leader="none"/>
              </w:tabs>
              <w:spacing w:line="240" w:lineRule="auto" w:before="0" w:after="0"/>
              <w:ind w:left="467" w:right="297" w:hanging="360"/>
              <w:jc w:val="left"/>
              <w:rPr>
                <w:sz w:val="20"/>
              </w:rPr>
            </w:pPr>
            <w:r>
              <w:rPr>
                <w:sz w:val="20"/>
              </w:rPr>
              <w:t>Requerimiento de personal especializado en construcción adecuado a</w:t>
            </w:r>
            <w:r>
              <w:rPr>
                <w:spacing w:val="-23"/>
                <w:sz w:val="20"/>
              </w:rPr>
              <w:t> </w:t>
            </w:r>
            <w:r>
              <w:rPr>
                <w:sz w:val="20"/>
              </w:rPr>
              <w:t>zonas tropicales</w:t>
            </w:r>
          </w:p>
          <w:p>
            <w:pPr>
              <w:pStyle w:val="TableParagraph"/>
              <w:numPr>
                <w:ilvl w:val="0"/>
                <w:numId w:val="31"/>
              </w:numPr>
              <w:tabs>
                <w:tab w:pos="467" w:val="left" w:leader="none"/>
                <w:tab w:pos="468" w:val="left" w:leader="none"/>
              </w:tabs>
              <w:spacing w:line="243" w:lineRule="exact" w:before="0" w:after="0"/>
              <w:ind w:left="467" w:right="0" w:hanging="361"/>
              <w:jc w:val="left"/>
              <w:rPr>
                <w:sz w:val="20"/>
              </w:rPr>
            </w:pPr>
            <w:r>
              <w:rPr>
                <w:sz w:val="20"/>
              </w:rPr>
              <w:t>No existe un sistema de tratamiento de aguas</w:t>
            </w:r>
            <w:r>
              <w:rPr>
                <w:spacing w:val="-5"/>
                <w:sz w:val="20"/>
              </w:rPr>
              <w:t> </w:t>
            </w:r>
            <w:r>
              <w:rPr>
                <w:sz w:val="20"/>
              </w:rPr>
              <w:t>servidas</w:t>
            </w:r>
          </w:p>
          <w:p>
            <w:pPr>
              <w:pStyle w:val="TableParagraph"/>
              <w:numPr>
                <w:ilvl w:val="0"/>
                <w:numId w:val="31"/>
              </w:numPr>
              <w:tabs>
                <w:tab w:pos="467" w:val="left" w:leader="none"/>
                <w:tab w:pos="468" w:val="left" w:leader="none"/>
              </w:tabs>
              <w:spacing w:line="240" w:lineRule="auto" w:before="1" w:after="0"/>
              <w:ind w:left="467" w:right="0" w:hanging="361"/>
              <w:jc w:val="left"/>
              <w:rPr>
                <w:sz w:val="20"/>
              </w:rPr>
            </w:pPr>
            <w:r>
              <w:rPr>
                <w:sz w:val="20"/>
              </w:rPr>
              <w:t>No se hace un uso adecuado de las herramientas, equipos y</w:t>
            </w:r>
            <w:r>
              <w:rPr>
                <w:spacing w:val="-11"/>
                <w:sz w:val="20"/>
              </w:rPr>
              <w:t> </w:t>
            </w:r>
            <w:r>
              <w:rPr>
                <w:sz w:val="20"/>
              </w:rPr>
              <w:t>maquinarias.</w:t>
            </w:r>
          </w:p>
          <w:p>
            <w:pPr>
              <w:pStyle w:val="TableParagraph"/>
              <w:numPr>
                <w:ilvl w:val="0"/>
                <w:numId w:val="31"/>
              </w:numPr>
              <w:tabs>
                <w:tab w:pos="467" w:val="left" w:leader="none"/>
                <w:tab w:pos="468" w:val="left" w:leader="none"/>
              </w:tabs>
              <w:spacing w:line="243" w:lineRule="exact" w:before="1" w:after="0"/>
              <w:ind w:left="467" w:right="0" w:hanging="361"/>
              <w:jc w:val="left"/>
              <w:rPr>
                <w:sz w:val="20"/>
              </w:rPr>
            </w:pPr>
            <w:r>
              <w:rPr>
                <w:sz w:val="20"/>
              </w:rPr>
              <w:t>Falta de equipamiento de</w:t>
            </w:r>
            <w:r>
              <w:rPr>
                <w:spacing w:val="-3"/>
                <w:sz w:val="20"/>
              </w:rPr>
              <w:t> </w:t>
            </w:r>
            <w:r>
              <w:rPr>
                <w:sz w:val="20"/>
              </w:rPr>
              <w:t>laboratorios</w:t>
            </w:r>
          </w:p>
          <w:p>
            <w:pPr>
              <w:pStyle w:val="TableParagraph"/>
              <w:numPr>
                <w:ilvl w:val="0"/>
                <w:numId w:val="31"/>
              </w:numPr>
              <w:tabs>
                <w:tab w:pos="467" w:val="left" w:leader="none"/>
                <w:tab w:pos="468" w:val="left" w:leader="none"/>
              </w:tabs>
              <w:spacing w:line="243" w:lineRule="exact" w:before="0" w:after="0"/>
              <w:ind w:left="467" w:right="0" w:hanging="361"/>
              <w:jc w:val="left"/>
              <w:rPr>
                <w:sz w:val="20"/>
              </w:rPr>
            </w:pPr>
            <w:r>
              <w:rPr>
                <w:sz w:val="20"/>
              </w:rPr>
              <w:t>Falta de aula</w:t>
            </w:r>
            <w:r>
              <w:rPr>
                <w:spacing w:val="-2"/>
                <w:sz w:val="20"/>
              </w:rPr>
              <w:t> </w:t>
            </w:r>
            <w:r>
              <w:rPr>
                <w:sz w:val="20"/>
              </w:rPr>
              <w:t>magna</w:t>
            </w:r>
          </w:p>
          <w:p>
            <w:pPr>
              <w:pStyle w:val="TableParagraph"/>
              <w:numPr>
                <w:ilvl w:val="0"/>
                <w:numId w:val="31"/>
              </w:numPr>
              <w:tabs>
                <w:tab w:pos="467" w:val="left" w:leader="none"/>
                <w:tab w:pos="468" w:val="left" w:leader="none"/>
              </w:tabs>
              <w:spacing w:line="240" w:lineRule="auto" w:before="0" w:after="0"/>
              <w:ind w:left="467" w:right="898" w:hanging="360"/>
              <w:jc w:val="left"/>
              <w:rPr>
                <w:sz w:val="20"/>
              </w:rPr>
            </w:pPr>
            <w:r>
              <w:rPr>
                <w:sz w:val="20"/>
              </w:rPr>
              <w:t>Insuficiente infraestructura para cada proceso de producción y</w:t>
            </w:r>
            <w:r>
              <w:rPr>
                <w:spacing w:val="-23"/>
                <w:sz w:val="20"/>
              </w:rPr>
              <w:t> </w:t>
            </w:r>
            <w:r>
              <w:rPr>
                <w:sz w:val="20"/>
              </w:rPr>
              <w:t>áreas pedagógicas para las cuatro</w:t>
            </w:r>
            <w:r>
              <w:rPr>
                <w:spacing w:val="-3"/>
                <w:sz w:val="20"/>
              </w:rPr>
              <w:t> </w:t>
            </w:r>
            <w:r>
              <w:rPr>
                <w:sz w:val="20"/>
              </w:rPr>
              <w:t>carreras</w:t>
            </w:r>
          </w:p>
          <w:p>
            <w:pPr>
              <w:pStyle w:val="TableParagraph"/>
              <w:numPr>
                <w:ilvl w:val="0"/>
                <w:numId w:val="31"/>
              </w:numPr>
              <w:tabs>
                <w:tab w:pos="467" w:val="left" w:leader="none"/>
                <w:tab w:pos="468" w:val="left" w:leader="none"/>
              </w:tabs>
              <w:spacing w:line="240" w:lineRule="auto" w:before="0" w:after="0"/>
              <w:ind w:left="467" w:right="168" w:hanging="360"/>
              <w:jc w:val="left"/>
              <w:rPr>
                <w:sz w:val="20"/>
              </w:rPr>
            </w:pPr>
            <w:r>
              <w:rPr>
                <w:sz w:val="20"/>
              </w:rPr>
              <w:t>Insuficiente infraestructura que refleje la esencia filosófico-político- económico-cultural-lingüístico de la Universidad basado en los</w:t>
            </w:r>
            <w:r>
              <w:rPr>
                <w:spacing w:val="-26"/>
                <w:sz w:val="20"/>
              </w:rPr>
              <w:t> </w:t>
            </w:r>
            <w:r>
              <w:rPr>
                <w:sz w:val="20"/>
              </w:rPr>
              <w:t>conocimientos y saberes de la Nación</w:t>
            </w:r>
            <w:r>
              <w:rPr>
                <w:spacing w:val="-4"/>
                <w:sz w:val="20"/>
              </w:rPr>
              <w:t> </w:t>
            </w:r>
            <w:r>
              <w:rPr>
                <w:sz w:val="20"/>
              </w:rPr>
              <w:t>quechua</w:t>
            </w:r>
          </w:p>
          <w:p>
            <w:pPr>
              <w:pStyle w:val="TableParagraph"/>
              <w:numPr>
                <w:ilvl w:val="0"/>
                <w:numId w:val="31"/>
              </w:numPr>
              <w:tabs>
                <w:tab w:pos="467" w:val="left" w:leader="none"/>
                <w:tab w:pos="468" w:val="left" w:leader="none"/>
              </w:tabs>
              <w:spacing w:line="240" w:lineRule="auto" w:before="1" w:after="0"/>
              <w:ind w:left="467" w:right="766" w:hanging="360"/>
              <w:jc w:val="left"/>
              <w:rPr>
                <w:sz w:val="20"/>
              </w:rPr>
            </w:pPr>
            <w:r>
              <w:rPr>
                <w:sz w:val="20"/>
              </w:rPr>
              <w:t>Insuficiente infraestructura de baterías de baños para la capacidad</w:t>
            </w:r>
            <w:r>
              <w:rPr>
                <w:spacing w:val="-21"/>
                <w:sz w:val="20"/>
              </w:rPr>
              <w:t> </w:t>
            </w:r>
            <w:r>
              <w:rPr>
                <w:sz w:val="20"/>
              </w:rPr>
              <w:t>del alumnado.</w:t>
            </w:r>
          </w:p>
          <w:p>
            <w:pPr>
              <w:pStyle w:val="TableParagraph"/>
              <w:numPr>
                <w:ilvl w:val="0"/>
                <w:numId w:val="31"/>
              </w:numPr>
              <w:tabs>
                <w:tab w:pos="468" w:val="left" w:leader="none"/>
              </w:tabs>
              <w:spacing w:line="240" w:lineRule="auto" w:before="0" w:after="0"/>
              <w:ind w:left="467" w:right="121" w:hanging="360"/>
              <w:jc w:val="left"/>
              <w:rPr>
                <w:sz w:val="20"/>
              </w:rPr>
            </w:pPr>
            <w:r>
              <w:rPr>
                <w:sz w:val="20"/>
              </w:rPr>
              <w:t>Insuficiente infraestructura de bloques de aulas y residencia universitaria</w:t>
            </w:r>
            <w:r>
              <w:rPr>
                <w:spacing w:val="-26"/>
                <w:sz w:val="20"/>
              </w:rPr>
              <w:t> </w:t>
            </w:r>
            <w:r>
              <w:rPr>
                <w:sz w:val="20"/>
              </w:rPr>
              <w:t>para la capacidad que se pretende tener para los cinco años de</w:t>
            </w:r>
            <w:r>
              <w:rPr>
                <w:spacing w:val="-10"/>
                <w:sz w:val="20"/>
              </w:rPr>
              <w:t> </w:t>
            </w:r>
            <w:r>
              <w:rPr>
                <w:sz w:val="20"/>
              </w:rPr>
              <w:t>estudio.</w:t>
            </w:r>
          </w:p>
          <w:p>
            <w:pPr>
              <w:pStyle w:val="TableParagraph"/>
              <w:numPr>
                <w:ilvl w:val="0"/>
                <w:numId w:val="31"/>
              </w:numPr>
              <w:tabs>
                <w:tab w:pos="468" w:val="left" w:leader="none"/>
              </w:tabs>
              <w:spacing w:line="243" w:lineRule="exact" w:before="0" w:after="0"/>
              <w:ind w:left="467" w:right="0" w:hanging="361"/>
              <w:jc w:val="left"/>
              <w:rPr>
                <w:sz w:val="20"/>
              </w:rPr>
            </w:pPr>
            <w:r>
              <w:rPr>
                <w:sz w:val="20"/>
              </w:rPr>
              <w:t>Sistema eléctrico de residencia universitaria</w:t>
            </w:r>
            <w:r>
              <w:rPr>
                <w:spacing w:val="-4"/>
                <w:sz w:val="20"/>
              </w:rPr>
              <w:t> </w:t>
            </w:r>
            <w:r>
              <w:rPr>
                <w:sz w:val="20"/>
              </w:rPr>
              <w:t>deteriorado</w:t>
            </w:r>
          </w:p>
          <w:p>
            <w:pPr>
              <w:pStyle w:val="TableParagraph"/>
              <w:numPr>
                <w:ilvl w:val="0"/>
                <w:numId w:val="31"/>
              </w:numPr>
              <w:tabs>
                <w:tab w:pos="468" w:val="left" w:leader="none"/>
              </w:tabs>
              <w:spacing w:line="240" w:lineRule="auto" w:before="0" w:after="0"/>
              <w:ind w:left="467" w:right="1032" w:hanging="360"/>
              <w:jc w:val="left"/>
              <w:rPr>
                <w:sz w:val="20"/>
              </w:rPr>
            </w:pPr>
            <w:r>
              <w:rPr>
                <w:sz w:val="20"/>
              </w:rPr>
              <w:t>No se cuenta con un proyecto de mantenimiento de áreas verdes</w:t>
            </w:r>
            <w:r>
              <w:rPr>
                <w:spacing w:val="-21"/>
                <w:sz w:val="20"/>
              </w:rPr>
              <w:t> </w:t>
            </w:r>
            <w:r>
              <w:rPr>
                <w:sz w:val="20"/>
              </w:rPr>
              <w:t>y forestación,</w:t>
            </w:r>
            <w:r>
              <w:rPr>
                <w:spacing w:val="-1"/>
                <w:sz w:val="20"/>
              </w:rPr>
              <w:t> </w:t>
            </w:r>
            <w:r>
              <w:rPr>
                <w:sz w:val="20"/>
              </w:rPr>
              <w:t>paisajismo.</w:t>
            </w:r>
          </w:p>
          <w:p>
            <w:pPr>
              <w:pStyle w:val="TableParagraph"/>
              <w:numPr>
                <w:ilvl w:val="0"/>
                <w:numId w:val="31"/>
              </w:numPr>
              <w:tabs>
                <w:tab w:pos="468" w:val="left" w:leader="none"/>
              </w:tabs>
              <w:spacing w:line="243" w:lineRule="exact" w:before="2" w:after="0"/>
              <w:ind w:left="467" w:right="0" w:hanging="361"/>
              <w:jc w:val="left"/>
              <w:rPr>
                <w:sz w:val="20"/>
              </w:rPr>
            </w:pPr>
            <w:r>
              <w:rPr>
                <w:sz w:val="20"/>
              </w:rPr>
              <w:t>Falta de delimitación del perímetro de los predios del campus</w:t>
            </w:r>
            <w:r>
              <w:rPr>
                <w:spacing w:val="-18"/>
                <w:sz w:val="20"/>
              </w:rPr>
              <w:t> </w:t>
            </w:r>
            <w:r>
              <w:rPr>
                <w:sz w:val="20"/>
              </w:rPr>
              <w:t>universitario.</w:t>
            </w:r>
          </w:p>
          <w:p>
            <w:pPr>
              <w:pStyle w:val="TableParagraph"/>
              <w:numPr>
                <w:ilvl w:val="0"/>
                <w:numId w:val="31"/>
              </w:numPr>
              <w:tabs>
                <w:tab w:pos="468" w:val="left" w:leader="none"/>
              </w:tabs>
              <w:spacing w:line="244" w:lineRule="exact" w:before="0" w:after="0"/>
              <w:ind w:left="467" w:right="0" w:hanging="361"/>
              <w:jc w:val="left"/>
              <w:rPr>
                <w:sz w:val="22"/>
              </w:rPr>
            </w:pPr>
            <w:r>
              <w:rPr>
                <w:sz w:val="20"/>
              </w:rPr>
              <w:t>Equipamiento informático</w:t>
            </w:r>
            <w:r>
              <w:rPr>
                <w:spacing w:val="-1"/>
                <w:sz w:val="20"/>
              </w:rPr>
              <w:t> </w:t>
            </w:r>
            <w:r>
              <w:rPr>
                <w:sz w:val="20"/>
              </w:rPr>
              <w:t>escaso</w:t>
            </w:r>
          </w:p>
        </w:tc>
        <w:tc>
          <w:tcPr>
            <w:tcW w:w="3255" w:type="dxa"/>
          </w:tcPr>
          <w:p>
            <w:pPr>
              <w:pStyle w:val="TableParagraph"/>
              <w:numPr>
                <w:ilvl w:val="0"/>
                <w:numId w:val="32"/>
              </w:numPr>
              <w:tabs>
                <w:tab w:pos="468" w:val="left" w:leader="none"/>
              </w:tabs>
              <w:spacing w:line="240" w:lineRule="auto" w:before="0" w:after="0"/>
              <w:ind w:left="467" w:right="293" w:hanging="360"/>
              <w:jc w:val="both"/>
              <w:rPr>
                <w:sz w:val="22"/>
              </w:rPr>
            </w:pPr>
            <w:r>
              <w:rPr>
                <w:sz w:val="22"/>
              </w:rPr>
              <w:t>Avasallamiento del derecho propietario</w:t>
            </w:r>
          </w:p>
          <w:p>
            <w:pPr>
              <w:pStyle w:val="TableParagraph"/>
              <w:numPr>
                <w:ilvl w:val="0"/>
                <w:numId w:val="32"/>
              </w:numPr>
              <w:tabs>
                <w:tab w:pos="468" w:val="left" w:leader="none"/>
              </w:tabs>
              <w:spacing w:line="240" w:lineRule="auto" w:before="0" w:after="0"/>
              <w:ind w:left="467" w:right="96" w:hanging="360"/>
              <w:jc w:val="both"/>
              <w:rPr>
                <w:sz w:val="22"/>
              </w:rPr>
            </w:pPr>
            <w:r>
              <w:rPr>
                <w:sz w:val="22"/>
              </w:rPr>
              <w:t>Falta de tratamiento de aguas pluviales y arroyos que pasan por el campus</w:t>
            </w:r>
            <w:r>
              <w:rPr>
                <w:spacing w:val="-3"/>
                <w:sz w:val="22"/>
              </w:rPr>
              <w:t> </w:t>
            </w:r>
            <w:r>
              <w:rPr>
                <w:sz w:val="22"/>
              </w:rPr>
              <w:t>universitario</w:t>
            </w:r>
          </w:p>
          <w:p>
            <w:pPr>
              <w:pStyle w:val="TableParagraph"/>
              <w:numPr>
                <w:ilvl w:val="0"/>
                <w:numId w:val="32"/>
              </w:numPr>
              <w:tabs>
                <w:tab w:pos="468" w:val="left" w:leader="none"/>
              </w:tabs>
              <w:spacing w:line="240" w:lineRule="auto" w:before="0" w:after="0"/>
              <w:ind w:left="467" w:right="644" w:hanging="360"/>
              <w:jc w:val="left"/>
              <w:rPr>
                <w:sz w:val="22"/>
              </w:rPr>
            </w:pPr>
            <w:r>
              <w:rPr>
                <w:sz w:val="22"/>
              </w:rPr>
              <w:t>Red eléctrica y de datos susceptibles a daños medioambientales (condiciones</w:t>
            </w:r>
            <w:r>
              <w:rPr>
                <w:spacing w:val="-10"/>
                <w:sz w:val="22"/>
              </w:rPr>
              <w:t> </w:t>
            </w:r>
            <w:r>
              <w:rPr>
                <w:sz w:val="22"/>
              </w:rPr>
              <w:t>climáticas)</w:t>
            </w:r>
          </w:p>
        </w:tc>
      </w:tr>
    </w:tbl>
    <w:p>
      <w:pPr>
        <w:pStyle w:val="BodyText"/>
        <w:rPr>
          <w:rFonts w:ascii="Times New Roman"/>
          <w:b/>
          <w:sz w:val="26"/>
        </w:rPr>
      </w:pPr>
    </w:p>
    <w:p>
      <w:pPr>
        <w:pStyle w:val="BodyText"/>
        <w:spacing w:before="5"/>
        <w:rPr>
          <w:rFonts w:ascii="Times New Roman"/>
          <w:b/>
          <w:sz w:val="27"/>
        </w:rPr>
      </w:pPr>
    </w:p>
    <w:p>
      <w:pPr>
        <w:pStyle w:val="ListParagraph"/>
        <w:numPr>
          <w:ilvl w:val="1"/>
          <w:numId w:val="11"/>
        </w:numPr>
        <w:tabs>
          <w:tab w:pos="2085" w:val="left" w:leader="none"/>
          <w:tab w:pos="2086" w:val="left" w:leader="none"/>
        </w:tabs>
        <w:spacing w:line="240" w:lineRule="auto" w:before="0" w:after="0"/>
        <w:ind w:left="2085" w:right="0" w:hanging="721"/>
        <w:jc w:val="left"/>
        <w:rPr>
          <w:rFonts w:ascii="Cambria" w:hAnsi="Cambria"/>
          <w:b/>
          <w:sz w:val="28"/>
        </w:rPr>
      </w:pPr>
      <w:r>
        <w:rPr>
          <w:rFonts w:ascii="Cambria" w:hAnsi="Cambria"/>
          <w:b/>
          <w:sz w:val="28"/>
        </w:rPr>
        <w:t>A NIVEL NACIÓN</w:t>
      </w:r>
      <w:r>
        <w:rPr>
          <w:rFonts w:ascii="Cambria" w:hAnsi="Cambria"/>
          <w:b/>
          <w:spacing w:val="-3"/>
          <w:sz w:val="28"/>
        </w:rPr>
        <w:t> </w:t>
      </w:r>
      <w:r>
        <w:rPr>
          <w:rFonts w:ascii="Cambria" w:hAnsi="Cambria"/>
          <w:b/>
          <w:sz w:val="28"/>
        </w:rPr>
        <w:t>QUECHUA</w:t>
      </w:r>
    </w:p>
    <w:p>
      <w:pPr>
        <w:pStyle w:val="BodyText"/>
        <w:spacing w:before="7"/>
        <w:rPr>
          <w:rFonts w:ascii="Cambria"/>
          <w:b/>
          <w:sz w:val="9"/>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5"/>
        <w:gridCol w:w="4536"/>
      </w:tblGrid>
      <w:tr>
        <w:trPr>
          <w:trHeight w:val="405" w:hRule="atLeast"/>
        </w:trPr>
        <w:tc>
          <w:tcPr>
            <w:tcW w:w="5665" w:type="dxa"/>
            <w:shd w:val="clear" w:color="auto" w:fill="006FC0"/>
          </w:tcPr>
          <w:p>
            <w:pPr>
              <w:pStyle w:val="TableParagraph"/>
              <w:ind w:left="107"/>
              <w:rPr>
                <w:rFonts w:ascii="Arial Black"/>
                <w:sz w:val="22"/>
              </w:rPr>
            </w:pPr>
            <w:r>
              <w:rPr>
                <w:rFonts w:ascii="Arial Black"/>
                <w:color w:val="F1F1F1"/>
                <w:sz w:val="22"/>
              </w:rPr>
              <w:t>Fortalezas</w:t>
            </w:r>
          </w:p>
        </w:tc>
        <w:tc>
          <w:tcPr>
            <w:tcW w:w="4536" w:type="dxa"/>
            <w:shd w:val="clear" w:color="auto" w:fill="006FC0"/>
          </w:tcPr>
          <w:p>
            <w:pPr>
              <w:pStyle w:val="TableParagraph"/>
              <w:ind w:left="108"/>
              <w:rPr>
                <w:rFonts w:ascii="Arial Black"/>
                <w:sz w:val="22"/>
              </w:rPr>
            </w:pPr>
            <w:r>
              <w:rPr>
                <w:rFonts w:ascii="Arial Black"/>
                <w:color w:val="F1F1F1"/>
                <w:sz w:val="22"/>
              </w:rPr>
              <w:t>Oportunidades</w:t>
            </w:r>
          </w:p>
        </w:tc>
      </w:tr>
      <w:tr>
        <w:trPr>
          <w:trHeight w:val="270" w:hRule="atLeast"/>
        </w:trPr>
        <w:tc>
          <w:tcPr>
            <w:tcW w:w="5665" w:type="dxa"/>
          </w:tcPr>
          <w:p>
            <w:pPr>
              <w:pStyle w:val="TableParagraph"/>
              <w:rPr>
                <w:rFonts w:ascii="Times New Roman"/>
                <w:sz w:val="20"/>
              </w:rPr>
            </w:pPr>
          </w:p>
        </w:tc>
        <w:tc>
          <w:tcPr>
            <w:tcW w:w="4536" w:type="dxa"/>
          </w:tcPr>
          <w:p>
            <w:pPr>
              <w:pStyle w:val="TableParagraph"/>
              <w:rPr>
                <w:rFonts w:ascii="Times New Roman"/>
                <w:sz w:val="20"/>
              </w:rPr>
            </w:pPr>
          </w:p>
        </w:tc>
      </w:tr>
    </w:tbl>
    <w:p>
      <w:pPr>
        <w:pStyle w:val="BodyText"/>
        <w:spacing w:before="1"/>
        <w:rPr>
          <w:rFonts w:ascii="Cambria"/>
          <w:b/>
          <w:sz w:val="6"/>
        </w:r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76"/>
        <w:gridCol w:w="3826"/>
      </w:tblGrid>
      <w:tr>
        <w:trPr>
          <w:trHeight w:val="309" w:hRule="atLeast"/>
        </w:trPr>
        <w:tc>
          <w:tcPr>
            <w:tcW w:w="6376" w:type="dxa"/>
            <w:shd w:val="clear" w:color="auto" w:fill="006FC0"/>
          </w:tcPr>
          <w:p>
            <w:pPr>
              <w:pStyle w:val="TableParagraph"/>
              <w:spacing w:line="289" w:lineRule="exact"/>
              <w:ind w:left="108"/>
              <w:rPr>
                <w:rFonts w:ascii="Arial Black"/>
                <w:sz w:val="22"/>
              </w:rPr>
            </w:pPr>
            <w:r>
              <w:rPr>
                <w:rFonts w:ascii="Arial Black"/>
                <w:color w:val="F1F1F1"/>
                <w:sz w:val="22"/>
              </w:rPr>
              <w:t>Debilidades</w:t>
            </w:r>
          </w:p>
        </w:tc>
        <w:tc>
          <w:tcPr>
            <w:tcW w:w="3826" w:type="dxa"/>
            <w:shd w:val="clear" w:color="auto" w:fill="006FC0"/>
          </w:tcPr>
          <w:p>
            <w:pPr>
              <w:pStyle w:val="TableParagraph"/>
              <w:spacing w:line="289" w:lineRule="exact"/>
              <w:ind w:left="105"/>
              <w:rPr>
                <w:rFonts w:ascii="Arial Black"/>
                <w:sz w:val="22"/>
              </w:rPr>
            </w:pPr>
            <w:r>
              <w:rPr>
                <w:rFonts w:ascii="Arial Black"/>
                <w:color w:val="F1F1F1"/>
                <w:sz w:val="22"/>
              </w:rPr>
              <w:t>Amenazas</w:t>
            </w:r>
          </w:p>
        </w:tc>
      </w:tr>
      <w:tr>
        <w:trPr>
          <w:trHeight w:val="3218" w:hRule="atLeast"/>
        </w:trPr>
        <w:tc>
          <w:tcPr>
            <w:tcW w:w="6376" w:type="dxa"/>
          </w:tcPr>
          <w:p>
            <w:pPr>
              <w:pStyle w:val="TableParagraph"/>
              <w:numPr>
                <w:ilvl w:val="0"/>
                <w:numId w:val="33"/>
              </w:numPr>
              <w:tabs>
                <w:tab w:pos="465" w:val="left" w:leader="none"/>
                <w:tab w:pos="466" w:val="left" w:leader="none"/>
              </w:tabs>
              <w:spacing w:line="240" w:lineRule="auto" w:before="1" w:after="0"/>
              <w:ind w:left="465" w:right="225" w:hanging="358"/>
              <w:jc w:val="left"/>
              <w:rPr>
                <w:sz w:val="20"/>
              </w:rPr>
            </w:pPr>
            <w:r>
              <w:rPr>
                <w:sz w:val="20"/>
              </w:rPr>
              <w:t>Falta de convenios interinstitucionales, regionales, nacionales e internacionales de cooperación de becas e intercambio de investigadores para fomentar y apoyar los proyectos de</w:t>
            </w:r>
            <w:r>
              <w:rPr>
                <w:spacing w:val="-26"/>
                <w:sz w:val="20"/>
              </w:rPr>
              <w:t> </w:t>
            </w:r>
            <w:r>
              <w:rPr>
                <w:sz w:val="20"/>
              </w:rPr>
              <w:t>investigación.</w:t>
            </w:r>
          </w:p>
          <w:p>
            <w:pPr>
              <w:pStyle w:val="TableParagraph"/>
              <w:numPr>
                <w:ilvl w:val="0"/>
                <w:numId w:val="33"/>
              </w:numPr>
              <w:tabs>
                <w:tab w:pos="465" w:val="left" w:leader="none"/>
                <w:tab w:pos="466" w:val="left" w:leader="none"/>
              </w:tabs>
              <w:spacing w:line="240" w:lineRule="auto" w:before="0" w:after="0"/>
              <w:ind w:left="465" w:right="1490" w:hanging="358"/>
              <w:jc w:val="left"/>
              <w:rPr>
                <w:sz w:val="20"/>
              </w:rPr>
            </w:pPr>
            <w:r>
              <w:rPr>
                <w:sz w:val="20"/>
              </w:rPr>
              <w:t>Falta de políticas de comercialización de los productos agroalimentarios, pecuarios,</w:t>
            </w:r>
            <w:r>
              <w:rPr>
                <w:spacing w:val="-2"/>
                <w:sz w:val="20"/>
              </w:rPr>
              <w:t> </w:t>
            </w:r>
            <w:r>
              <w:rPr>
                <w:sz w:val="20"/>
              </w:rPr>
              <w:t>forestales</w:t>
            </w:r>
          </w:p>
          <w:p>
            <w:pPr>
              <w:pStyle w:val="TableParagraph"/>
              <w:numPr>
                <w:ilvl w:val="0"/>
                <w:numId w:val="33"/>
              </w:numPr>
              <w:tabs>
                <w:tab w:pos="465" w:val="left" w:leader="none"/>
                <w:tab w:pos="466" w:val="left" w:leader="none"/>
              </w:tabs>
              <w:spacing w:line="240" w:lineRule="auto" w:before="0" w:after="0"/>
              <w:ind w:left="465" w:right="438" w:hanging="358"/>
              <w:jc w:val="left"/>
              <w:rPr>
                <w:sz w:val="20"/>
              </w:rPr>
            </w:pPr>
            <w:r>
              <w:rPr>
                <w:sz w:val="20"/>
              </w:rPr>
              <w:t>Falta de estabilidad laboral de docentes, autoridades académicas y administrativos</w:t>
            </w:r>
          </w:p>
          <w:p>
            <w:pPr>
              <w:pStyle w:val="TableParagraph"/>
              <w:numPr>
                <w:ilvl w:val="0"/>
                <w:numId w:val="33"/>
              </w:numPr>
              <w:tabs>
                <w:tab w:pos="465" w:val="left" w:leader="none"/>
                <w:tab w:pos="466" w:val="left" w:leader="none"/>
              </w:tabs>
              <w:spacing w:line="243" w:lineRule="exact" w:before="0" w:after="0"/>
              <w:ind w:left="465" w:right="0" w:hanging="358"/>
              <w:jc w:val="left"/>
              <w:rPr>
                <w:sz w:val="20"/>
              </w:rPr>
            </w:pPr>
            <w:r>
              <w:rPr>
                <w:sz w:val="20"/>
              </w:rPr>
              <w:t>Falta de Planificación</w:t>
            </w:r>
            <w:r>
              <w:rPr>
                <w:spacing w:val="-2"/>
                <w:sz w:val="20"/>
              </w:rPr>
              <w:t> </w:t>
            </w:r>
            <w:r>
              <w:rPr>
                <w:sz w:val="20"/>
              </w:rPr>
              <w:t>Operativa</w:t>
            </w:r>
          </w:p>
          <w:p>
            <w:pPr>
              <w:pStyle w:val="TableParagraph"/>
              <w:numPr>
                <w:ilvl w:val="0"/>
                <w:numId w:val="33"/>
              </w:numPr>
              <w:tabs>
                <w:tab w:pos="465" w:val="left" w:leader="none"/>
                <w:tab w:pos="466" w:val="left" w:leader="none"/>
              </w:tabs>
              <w:spacing w:line="243" w:lineRule="exact" w:before="0" w:after="0"/>
              <w:ind w:left="465" w:right="0" w:hanging="358"/>
              <w:jc w:val="left"/>
              <w:rPr>
                <w:sz w:val="20"/>
              </w:rPr>
            </w:pPr>
            <w:r>
              <w:rPr>
                <w:sz w:val="20"/>
              </w:rPr>
              <w:t>Unidades productivas demostrativas y no</w:t>
            </w:r>
            <w:r>
              <w:rPr>
                <w:spacing w:val="-8"/>
                <w:sz w:val="20"/>
              </w:rPr>
              <w:t> </w:t>
            </w:r>
            <w:r>
              <w:rPr>
                <w:sz w:val="20"/>
              </w:rPr>
              <w:t>comercializables</w:t>
            </w:r>
          </w:p>
          <w:p>
            <w:pPr>
              <w:pStyle w:val="TableParagraph"/>
              <w:numPr>
                <w:ilvl w:val="0"/>
                <w:numId w:val="33"/>
              </w:numPr>
              <w:tabs>
                <w:tab w:pos="465" w:val="left" w:leader="none"/>
                <w:tab w:pos="466" w:val="left" w:leader="none"/>
              </w:tabs>
              <w:spacing w:line="240" w:lineRule="auto" w:before="1" w:after="0"/>
              <w:ind w:left="465" w:right="860" w:hanging="358"/>
              <w:jc w:val="left"/>
              <w:rPr>
                <w:sz w:val="20"/>
              </w:rPr>
            </w:pPr>
            <w:r>
              <w:rPr>
                <w:sz w:val="20"/>
              </w:rPr>
              <w:t>Falta de políticas institucionales que permitan el desarrollo</w:t>
            </w:r>
            <w:r>
              <w:rPr>
                <w:spacing w:val="-22"/>
                <w:sz w:val="20"/>
              </w:rPr>
              <w:t> </w:t>
            </w:r>
            <w:r>
              <w:rPr>
                <w:sz w:val="20"/>
              </w:rPr>
              <w:t>de prácticas probadas por</w:t>
            </w:r>
            <w:r>
              <w:rPr>
                <w:spacing w:val="-3"/>
                <w:sz w:val="20"/>
              </w:rPr>
              <w:t> </w:t>
            </w:r>
            <w:r>
              <w:rPr>
                <w:sz w:val="20"/>
              </w:rPr>
              <w:t>docentes.</w:t>
            </w:r>
          </w:p>
          <w:p>
            <w:pPr>
              <w:pStyle w:val="TableParagraph"/>
              <w:numPr>
                <w:ilvl w:val="0"/>
                <w:numId w:val="33"/>
              </w:numPr>
              <w:tabs>
                <w:tab w:pos="465" w:val="left" w:leader="none"/>
                <w:tab w:pos="466" w:val="left" w:leader="none"/>
              </w:tabs>
              <w:spacing w:line="243" w:lineRule="exact" w:before="1" w:after="0"/>
              <w:ind w:left="465" w:right="0" w:hanging="358"/>
              <w:jc w:val="left"/>
              <w:rPr>
                <w:sz w:val="20"/>
              </w:rPr>
            </w:pPr>
            <w:r>
              <w:rPr>
                <w:sz w:val="20"/>
              </w:rPr>
              <w:t>Falta de profesionales expertos en temas</w:t>
            </w:r>
            <w:r>
              <w:rPr>
                <w:spacing w:val="-7"/>
                <w:sz w:val="20"/>
              </w:rPr>
              <w:t> </w:t>
            </w:r>
            <w:r>
              <w:rPr>
                <w:sz w:val="20"/>
              </w:rPr>
              <w:t>específicos</w:t>
            </w:r>
          </w:p>
          <w:p>
            <w:pPr>
              <w:pStyle w:val="TableParagraph"/>
              <w:numPr>
                <w:ilvl w:val="0"/>
                <w:numId w:val="33"/>
              </w:numPr>
              <w:tabs>
                <w:tab w:pos="465" w:val="left" w:leader="none"/>
                <w:tab w:pos="466" w:val="left" w:leader="none"/>
              </w:tabs>
              <w:spacing w:line="243" w:lineRule="exact" w:before="0" w:after="0"/>
              <w:ind w:left="465" w:right="0" w:hanging="358"/>
              <w:jc w:val="left"/>
              <w:rPr>
                <w:sz w:val="20"/>
              </w:rPr>
            </w:pPr>
            <w:r>
              <w:rPr>
                <w:sz w:val="20"/>
              </w:rPr>
              <w:t>No contar con salarios atractivos para</w:t>
            </w:r>
            <w:r>
              <w:rPr>
                <w:spacing w:val="-6"/>
                <w:sz w:val="20"/>
              </w:rPr>
              <w:t> </w:t>
            </w:r>
            <w:r>
              <w:rPr>
                <w:sz w:val="20"/>
              </w:rPr>
              <w:t>expertos.</w:t>
            </w:r>
          </w:p>
        </w:tc>
        <w:tc>
          <w:tcPr>
            <w:tcW w:w="3826" w:type="dxa"/>
          </w:tcPr>
          <w:p>
            <w:pPr>
              <w:pStyle w:val="TableParagraph"/>
              <w:tabs>
                <w:tab w:pos="813" w:val="left" w:leader="none"/>
              </w:tabs>
              <w:spacing w:before="2"/>
              <w:ind w:left="105" w:right="256"/>
              <w:jc w:val="both"/>
              <w:rPr>
                <w:sz w:val="20"/>
              </w:rPr>
            </w:pPr>
            <w:r>
              <w:rPr>
                <w:rFonts w:ascii="Symbol" w:hAnsi="Symbol"/>
                <w:sz w:val="20"/>
              </w:rPr>
              <w:t></w:t>
            </w:r>
            <w:r>
              <w:rPr>
                <w:rFonts w:ascii="Times New Roman" w:hAnsi="Times New Roman"/>
                <w:sz w:val="20"/>
              </w:rPr>
              <w:tab/>
            </w:r>
            <w:r>
              <w:rPr>
                <w:sz w:val="20"/>
              </w:rPr>
              <w:t>Cambio de las políticas del estado plurinacional</w:t>
            </w:r>
          </w:p>
          <w:p>
            <w:pPr>
              <w:pStyle w:val="TableParagraph"/>
              <w:tabs>
                <w:tab w:pos="813" w:val="left" w:leader="none"/>
              </w:tabs>
              <w:ind w:left="105" w:right="864"/>
              <w:jc w:val="both"/>
              <w:rPr>
                <w:sz w:val="20"/>
              </w:rPr>
            </w:pPr>
            <w:r>
              <w:rPr>
                <w:rFonts w:ascii="Symbol" w:hAnsi="Symbol"/>
                <w:sz w:val="20"/>
              </w:rPr>
              <w:t></w:t>
            </w:r>
            <w:r>
              <w:rPr>
                <w:rFonts w:ascii="Times New Roman" w:hAnsi="Times New Roman"/>
                <w:sz w:val="20"/>
              </w:rPr>
              <w:tab/>
            </w:r>
            <w:r>
              <w:rPr>
                <w:sz w:val="20"/>
              </w:rPr>
              <w:t>Falta de credibilidad de la formación profesional con</w:t>
            </w:r>
            <w:r>
              <w:rPr>
                <w:spacing w:val="-11"/>
                <w:sz w:val="20"/>
              </w:rPr>
              <w:t> </w:t>
            </w:r>
            <w:r>
              <w:rPr>
                <w:sz w:val="20"/>
              </w:rPr>
              <w:t>carácter productivo de la</w:t>
            </w:r>
            <w:r>
              <w:rPr>
                <w:spacing w:val="43"/>
                <w:sz w:val="20"/>
              </w:rPr>
              <w:t> </w:t>
            </w:r>
            <w:r>
              <w:rPr>
                <w:sz w:val="20"/>
              </w:rPr>
              <w:t>UNIBOL</w:t>
            </w:r>
          </w:p>
          <w:p>
            <w:pPr>
              <w:pStyle w:val="TableParagraph"/>
              <w:tabs>
                <w:tab w:pos="813" w:val="left" w:leader="none"/>
              </w:tabs>
              <w:ind w:left="105" w:right="191"/>
              <w:rPr>
                <w:sz w:val="20"/>
              </w:rPr>
            </w:pPr>
            <w:r>
              <w:rPr>
                <w:rFonts w:ascii="Symbol" w:hAnsi="Symbol"/>
                <w:sz w:val="20"/>
              </w:rPr>
              <w:t></w:t>
            </w:r>
            <w:r>
              <w:rPr>
                <w:rFonts w:ascii="Times New Roman" w:hAnsi="Times New Roman"/>
                <w:sz w:val="20"/>
              </w:rPr>
              <w:tab/>
            </w:r>
            <w:r>
              <w:rPr>
                <w:sz w:val="20"/>
              </w:rPr>
              <w:t>Falta de una política educativa</w:t>
            </w:r>
            <w:r>
              <w:rPr>
                <w:spacing w:val="-16"/>
                <w:sz w:val="20"/>
              </w:rPr>
              <w:t> </w:t>
            </w:r>
            <w:r>
              <w:rPr>
                <w:sz w:val="20"/>
              </w:rPr>
              <w:t>con un enfoque de redes que permita esencialmente compartir lo que ha sido aprendido de la</w:t>
            </w:r>
            <w:r>
              <w:rPr>
                <w:spacing w:val="-2"/>
                <w:sz w:val="20"/>
              </w:rPr>
              <w:t> </w:t>
            </w:r>
            <w:r>
              <w:rPr>
                <w:sz w:val="20"/>
              </w:rPr>
              <w:t>experiencia</w:t>
            </w:r>
          </w:p>
          <w:p>
            <w:pPr>
              <w:pStyle w:val="TableParagraph"/>
              <w:tabs>
                <w:tab w:pos="813" w:val="left" w:leader="none"/>
              </w:tabs>
              <w:ind w:left="105" w:right="403"/>
              <w:rPr>
                <w:sz w:val="20"/>
              </w:rPr>
            </w:pPr>
            <w:r>
              <w:rPr>
                <w:rFonts w:ascii="Symbol" w:hAnsi="Symbol"/>
                <w:sz w:val="20"/>
              </w:rPr>
              <w:t></w:t>
            </w:r>
            <w:r>
              <w:rPr>
                <w:rFonts w:ascii="Times New Roman" w:hAnsi="Times New Roman"/>
                <w:sz w:val="20"/>
              </w:rPr>
              <w:tab/>
            </w:r>
            <w:r>
              <w:rPr>
                <w:sz w:val="20"/>
              </w:rPr>
              <w:t>Unidades de investigación provenientes de otras universidades que brinden apoyo en los municipios de</w:t>
            </w:r>
            <w:r>
              <w:rPr>
                <w:spacing w:val="-10"/>
                <w:sz w:val="20"/>
              </w:rPr>
              <w:t> </w:t>
            </w:r>
            <w:r>
              <w:rPr>
                <w:sz w:val="20"/>
              </w:rPr>
              <w:t>la</w:t>
            </w:r>
          </w:p>
          <w:p>
            <w:pPr>
              <w:pStyle w:val="TableParagraph"/>
              <w:spacing w:line="225" w:lineRule="exact"/>
              <w:ind w:left="105"/>
              <w:rPr>
                <w:b/>
                <w:sz w:val="20"/>
              </w:rPr>
            </w:pPr>
            <w:r>
              <w:rPr>
                <w:sz w:val="20"/>
              </w:rPr>
              <w:t>nación quechua (Competencia Desleal)</w:t>
            </w:r>
            <w:r>
              <w:rPr>
                <w:b/>
                <w:sz w:val="20"/>
              </w:rPr>
              <w:t>.</w:t>
            </w:r>
          </w:p>
        </w:tc>
      </w:tr>
    </w:tbl>
    <w:p>
      <w:pPr>
        <w:spacing w:after="0" w:line="225" w:lineRule="exact"/>
        <w:rPr>
          <w:sz w:val="20"/>
        </w:rPr>
        <w:sectPr>
          <w:pgSz w:w="11910" w:h="16840"/>
          <w:pgMar w:header="0" w:footer="922" w:top="1320" w:bottom="1200" w:left="620" w:right="280"/>
        </w:sect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76"/>
        <w:gridCol w:w="3826"/>
      </w:tblGrid>
      <w:tr>
        <w:trPr>
          <w:trHeight w:val="3175" w:hRule="atLeast"/>
        </w:trPr>
        <w:tc>
          <w:tcPr>
            <w:tcW w:w="6376" w:type="dxa"/>
          </w:tcPr>
          <w:p>
            <w:pPr>
              <w:pStyle w:val="TableParagraph"/>
              <w:numPr>
                <w:ilvl w:val="0"/>
                <w:numId w:val="34"/>
              </w:numPr>
              <w:tabs>
                <w:tab w:pos="465" w:val="left" w:leader="none"/>
                <w:tab w:pos="466" w:val="left" w:leader="none"/>
              </w:tabs>
              <w:spacing w:line="240" w:lineRule="auto" w:before="0" w:after="0"/>
              <w:ind w:left="465" w:right="333" w:hanging="358"/>
              <w:jc w:val="left"/>
              <w:rPr>
                <w:sz w:val="20"/>
              </w:rPr>
            </w:pPr>
            <w:r>
              <w:rPr>
                <w:sz w:val="20"/>
              </w:rPr>
              <w:t>Falta de unidades de investigación dentro de la nación quechua</w:t>
            </w:r>
            <w:r>
              <w:rPr>
                <w:spacing w:val="-24"/>
                <w:sz w:val="20"/>
              </w:rPr>
              <w:t> </w:t>
            </w:r>
            <w:r>
              <w:rPr>
                <w:sz w:val="20"/>
              </w:rPr>
              <w:t>para estudio de la</w:t>
            </w:r>
            <w:r>
              <w:rPr>
                <w:spacing w:val="-2"/>
                <w:sz w:val="20"/>
              </w:rPr>
              <w:t> </w:t>
            </w:r>
            <w:r>
              <w:rPr>
                <w:sz w:val="20"/>
              </w:rPr>
              <w:t>biodiversidad</w:t>
            </w:r>
          </w:p>
          <w:p>
            <w:pPr>
              <w:pStyle w:val="TableParagraph"/>
              <w:numPr>
                <w:ilvl w:val="0"/>
                <w:numId w:val="34"/>
              </w:numPr>
              <w:tabs>
                <w:tab w:pos="466" w:val="left" w:leader="none"/>
              </w:tabs>
              <w:spacing w:line="240" w:lineRule="auto" w:before="0" w:after="0"/>
              <w:ind w:left="465" w:right="593" w:hanging="358"/>
              <w:jc w:val="left"/>
              <w:rPr>
                <w:sz w:val="20"/>
              </w:rPr>
            </w:pPr>
            <w:r>
              <w:rPr>
                <w:sz w:val="20"/>
              </w:rPr>
              <w:t>No comunicación por parte de la UNIBOL con los municipios de</w:t>
            </w:r>
            <w:r>
              <w:rPr>
                <w:spacing w:val="-21"/>
                <w:sz w:val="20"/>
              </w:rPr>
              <w:t> </w:t>
            </w:r>
            <w:r>
              <w:rPr>
                <w:sz w:val="20"/>
              </w:rPr>
              <w:t>la Nación quechua. (Regiones de Potosí,</w:t>
            </w:r>
            <w:r>
              <w:rPr>
                <w:spacing w:val="-5"/>
                <w:sz w:val="20"/>
              </w:rPr>
              <w:t> </w:t>
            </w:r>
            <w:r>
              <w:rPr>
                <w:sz w:val="20"/>
              </w:rPr>
              <w:t>Chuquisaca)</w:t>
            </w:r>
          </w:p>
          <w:p>
            <w:pPr>
              <w:pStyle w:val="TableParagraph"/>
              <w:numPr>
                <w:ilvl w:val="0"/>
                <w:numId w:val="34"/>
              </w:numPr>
              <w:tabs>
                <w:tab w:pos="466" w:val="left" w:leader="none"/>
              </w:tabs>
              <w:spacing w:line="243" w:lineRule="exact" w:before="0" w:after="0"/>
              <w:ind w:left="465" w:right="0" w:hanging="358"/>
              <w:jc w:val="left"/>
              <w:rPr>
                <w:sz w:val="20"/>
              </w:rPr>
            </w:pPr>
            <w:r>
              <w:rPr>
                <w:sz w:val="20"/>
              </w:rPr>
              <w:t>Falta de personal comprometido con la visión</w:t>
            </w:r>
            <w:r>
              <w:rPr>
                <w:spacing w:val="-4"/>
                <w:sz w:val="20"/>
              </w:rPr>
              <w:t> </w:t>
            </w:r>
            <w:r>
              <w:rPr>
                <w:sz w:val="20"/>
              </w:rPr>
              <w:t>institucional</w:t>
            </w:r>
          </w:p>
          <w:p>
            <w:pPr>
              <w:pStyle w:val="TableParagraph"/>
              <w:numPr>
                <w:ilvl w:val="0"/>
                <w:numId w:val="34"/>
              </w:numPr>
              <w:tabs>
                <w:tab w:pos="466" w:val="left" w:leader="none"/>
              </w:tabs>
              <w:spacing w:line="240" w:lineRule="auto" w:before="0" w:after="0"/>
              <w:ind w:left="465" w:right="156" w:hanging="358"/>
              <w:jc w:val="left"/>
              <w:rPr>
                <w:sz w:val="20"/>
              </w:rPr>
            </w:pPr>
            <w:r>
              <w:rPr>
                <w:sz w:val="20"/>
              </w:rPr>
              <w:t>El nombre Universidad Quechua limita la interculturalidad</w:t>
            </w:r>
            <w:r>
              <w:rPr>
                <w:spacing w:val="-22"/>
                <w:sz w:val="20"/>
              </w:rPr>
              <w:t> </w:t>
            </w:r>
            <w:r>
              <w:rPr>
                <w:sz w:val="20"/>
              </w:rPr>
              <w:t>imponiendo solo un</w:t>
            </w:r>
            <w:r>
              <w:rPr>
                <w:spacing w:val="-1"/>
                <w:sz w:val="20"/>
              </w:rPr>
              <w:t> </w:t>
            </w:r>
            <w:r>
              <w:rPr>
                <w:sz w:val="20"/>
              </w:rPr>
              <w:t>idioma</w:t>
            </w:r>
          </w:p>
          <w:p>
            <w:pPr>
              <w:pStyle w:val="TableParagraph"/>
              <w:numPr>
                <w:ilvl w:val="0"/>
                <w:numId w:val="34"/>
              </w:numPr>
              <w:tabs>
                <w:tab w:pos="466" w:val="left" w:leader="none"/>
              </w:tabs>
              <w:spacing w:line="243" w:lineRule="exact" w:before="0" w:after="0"/>
              <w:ind w:left="465" w:right="0" w:hanging="358"/>
              <w:jc w:val="left"/>
              <w:rPr>
                <w:sz w:val="20"/>
              </w:rPr>
            </w:pPr>
            <w:r>
              <w:rPr>
                <w:sz w:val="20"/>
              </w:rPr>
              <w:t>Autoritarismo en tareas comunitarias no</w:t>
            </w:r>
            <w:r>
              <w:rPr>
                <w:spacing w:val="-5"/>
                <w:sz w:val="20"/>
              </w:rPr>
              <w:t> </w:t>
            </w:r>
            <w:r>
              <w:rPr>
                <w:sz w:val="20"/>
              </w:rPr>
              <w:t>coordinadas</w:t>
            </w:r>
          </w:p>
          <w:p>
            <w:pPr>
              <w:pStyle w:val="TableParagraph"/>
              <w:numPr>
                <w:ilvl w:val="0"/>
                <w:numId w:val="34"/>
              </w:numPr>
              <w:tabs>
                <w:tab w:pos="466" w:val="left" w:leader="none"/>
              </w:tabs>
              <w:spacing w:line="240" w:lineRule="auto" w:before="0" w:after="0"/>
              <w:ind w:left="465" w:right="187" w:hanging="358"/>
              <w:jc w:val="left"/>
              <w:rPr>
                <w:sz w:val="20"/>
              </w:rPr>
            </w:pPr>
            <w:r>
              <w:rPr>
                <w:sz w:val="20"/>
              </w:rPr>
              <w:t>Falta Promover la asistencia de investigadores, docentes y</w:t>
            </w:r>
            <w:r>
              <w:rPr>
                <w:spacing w:val="-24"/>
                <w:sz w:val="20"/>
              </w:rPr>
              <w:t> </w:t>
            </w:r>
            <w:r>
              <w:rPr>
                <w:sz w:val="20"/>
              </w:rPr>
              <w:t>estudiantes y de la sociedad en general para la presentación de trabajos de investigación en eventos nacionales e</w:t>
            </w:r>
            <w:r>
              <w:rPr>
                <w:spacing w:val="-8"/>
                <w:sz w:val="20"/>
              </w:rPr>
              <w:t> </w:t>
            </w:r>
            <w:r>
              <w:rPr>
                <w:sz w:val="20"/>
              </w:rPr>
              <w:t>internacionales.</w:t>
            </w:r>
          </w:p>
          <w:p>
            <w:pPr>
              <w:pStyle w:val="TableParagraph"/>
              <w:numPr>
                <w:ilvl w:val="0"/>
                <w:numId w:val="34"/>
              </w:numPr>
              <w:tabs>
                <w:tab w:pos="466" w:val="left" w:leader="none"/>
              </w:tabs>
              <w:spacing w:line="243" w:lineRule="exact" w:before="1" w:after="0"/>
              <w:ind w:left="465" w:right="0" w:hanging="358"/>
              <w:jc w:val="left"/>
              <w:rPr>
                <w:sz w:val="20"/>
              </w:rPr>
            </w:pPr>
            <w:r>
              <w:rPr>
                <w:sz w:val="20"/>
              </w:rPr>
              <w:t>Criterios de Selección Docente y estudiante</w:t>
            </w:r>
            <w:r>
              <w:rPr>
                <w:spacing w:val="-7"/>
                <w:sz w:val="20"/>
              </w:rPr>
              <w:t> </w:t>
            </w:r>
            <w:r>
              <w:rPr>
                <w:sz w:val="20"/>
              </w:rPr>
              <w:t>limitado</w:t>
            </w:r>
          </w:p>
          <w:p>
            <w:pPr>
              <w:pStyle w:val="TableParagraph"/>
              <w:numPr>
                <w:ilvl w:val="0"/>
                <w:numId w:val="34"/>
              </w:numPr>
              <w:tabs>
                <w:tab w:pos="466" w:val="left" w:leader="none"/>
              </w:tabs>
              <w:spacing w:line="227" w:lineRule="exact" w:before="0" w:after="0"/>
              <w:ind w:left="465" w:right="0" w:hanging="358"/>
              <w:jc w:val="left"/>
              <w:rPr>
                <w:sz w:val="20"/>
              </w:rPr>
            </w:pPr>
            <w:r>
              <w:rPr>
                <w:sz w:val="20"/>
              </w:rPr>
              <w:t>Carga horaria académica</w:t>
            </w:r>
            <w:r>
              <w:rPr>
                <w:spacing w:val="1"/>
                <w:sz w:val="20"/>
              </w:rPr>
              <w:t> </w:t>
            </w:r>
            <w:r>
              <w:rPr>
                <w:sz w:val="20"/>
              </w:rPr>
              <w:t>excesiva</w:t>
            </w:r>
          </w:p>
        </w:tc>
        <w:tc>
          <w:tcPr>
            <w:tcW w:w="3826" w:type="dxa"/>
          </w:tcPr>
          <w:p>
            <w:pPr>
              <w:pStyle w:val="TableParagraph"/>
              <w:ind w:left="105" w:right="57"/>
              <w:rPr>
                <w:sz w:val="20"/>
              </w:rPr>
            </w:pPr>
            <w:r>
              <w:rPr>
                <w:sz w:val="20"/>
              </w:rPr>
              <w:t>Intromisión política partidaria a las decisiones académicas de la universidad</w:t>
            </w:r>
          </w:p>
        </w:tc>
      </w:tr>
    </w:tbl>
    <w:p>
      <w:pPr>
        <w:pStyle w:val="BodyText"/>
        <w:spacing w:before="6"/>
        <w:rPr>
          <w:rFonts w:ascii="Cambria"/>
          <w:b/>
          <w:sz w:val="11"/>
        </w:rPr>
      </w:pPr>
    </w:p>
    <w:p>
      <w:pPr>
        <w:pStyle w:val="ListParagraph"/>
        <w:numPr>
          <w:ilvl w:val="1"/>
          <w:numId w:val="11"/>
        </w:numPr>
        <w:tabs>
          <w:tab w:pos="2085" w:val="left" w:leader="none"/>
          <w:tab w:pos="2086" w:val="left" w:leader="none"/>
        </w:tabs>
        <w:spacing w:line="240" w:lineRule="auto" w:before="101" w:after="0"/>
        <w:ind w:left="2085" w:right="0" w:hanging="721"/>
        <w:jc w:val="left"/>
        <w:rPr>
          <w:rFonts w:ascii="Cambria"/>
          <w:b/>
          <w:sz w:val="28"/>
        </w:rPr>
      </w:pPr>
      <w:r>
        <w:rPr>
          <w:rFonts w:ascii="Cambria"/>
          <w:b/>
          <w:sz w:val="28"/>
        </w:rPr>
        <w:t>A NIVEL DEL ESTADO</w:t>
      </w:r>
      <w:r>
        <w:rPr>
          <w:rFonts w:ascii="Cambria"/>
          <w:b/>
          <w:spacing w:val="-5"/>
          <w:sz w:val="28"/>
        </w:rPr>
        <w:t> </w:t>
      </w:r>
      <w:r>
        <w:rPr>
          <w:rFonts w:ascii="Cambria"/>
          <w:b/>
          <w:sz w:val="28"/>
        </w:rPr>
        <w:t>PLURINACIONAL</w:t>
      </w:r>
    </w:p>
    <w:p>
      <w:pPr>
        <w:pStyle w:val="BodyText"/>
        <w:spacing w:before="5"/>
        <w:rPr>
          <w:rFonts w:ascii="Cambria"/>
          <w:b/>
          <w:sz w:val="9"/>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283"/>
        <w:gridCol w:w="5811"/>
      </w:tblGrid>
      <w:tr>
        <w:trPr>
          <w:trHeight w:val="311" w:hRule="atLeast"/>
        </w:trPr>
        <w:tc>
          <w:tcPr>
            <w:tcW w:w="4107" w:type="dxa"/>
            <w:shd w:val="clear" w:color="auto" w:fill="006FC0"/>
          </w:tcPr>
          <w:p>
            <w:pPr>
              <w:pStyle w:val="TableParagraph"/>
              <w:spacing w:line="289" w:lineRule="exact" w:before="2"/>
              <w:ind w:left="105"/>
              <w:rPr>
                <w:rFonts w:ascii="Arial Black"/>
                <w:sz w:val="22"/>
              </w:rPr>
            </w:pPr>
            <w:r>
              <w:rPr>
                <w:rFonts w:ascii="Arial Black"/>
                <w:color w:val="F1F1F1"/>
                <w:sz w:val="22"/>
              </w:rPr>
              <w:t>Fortalezas</w:t>
            </w:r>
          </w:p>
        </w:tc>
        <w:tc>
          <w:tcPr>
            <w:tcW w:w="6094" w:type="dxa"/>
            <w:gridSpan w:val="2"/>
            <w:shd w:val="clear" w:color="auto" w:fill="006FC0"/>
          </w:tcPr>
          <w:p>
            <w:pPr>
              <w:pStyle w:val="TableParagraph"/>
              <w:spacing w:line="289" w:lineRule="exact" w:before="2"/>
              <w:ind w:left="105"/>
              <w:rPr>
                <w:rFonts w:ascii="Arial Black"/>
                <w:sz w:val="22"/>
              </w:rPr>
            </w:pPr>
            <w:r>
              <w:rPr>
                <w:rFonts w:ascii="Arial Black"/>
                <w:color w:val="F1F1F1"/>
                <w:sz w:val="22"/>
              </w:rPr>
              <w:t>Oportunidades</w:t>
            </w:r>
          </w:p>
        </w:tc>
      </w:tr>
      <w:tr>
        <w:trPr>
          <w:trHeight w:val="9034" w:hRule="atLeast"/>
        </w:trPr>
        <w:tc>
          <w:tcPr>
            <w:tcW w:w="4390" w:type="dxa"/>
            <w:gridSpan w:val="2"/>
          </w:tcPr>
          <w:p>
            <w:pPr>
              <w:pStyle w:val="TableParagraph"/>
              <w:numPr>
                <w:ilvl w:val="0"/>
                <w:numId w:val="35"/>
              </w:numPr>
              <w:tabs>
                <w:tab w:pos="825" w:val="left" w:leader="none"/>
                <w:tab w:pos="826" w:val="left" w:leader="none"/>
              </w:tabs>
              <w:spacing w:line="240" w:lineRule="auto" w:before="0" w:after="0"/>
              <w:ind w:left="825" w:right="218" w:hanging="361"/>
              <w:jc w:val="left"/>
              <w:rPr>
                <w:sz w:val="20"/>
              </w:rPr>
            </w:pPr>
            <w:r>
              <w:rPr>
                <w:sz w:val="20"/>
              </w:rPr>
              <w:t>Se cuenta con recursos humanos comprometidos con el proceso de cambio, capacitados para gestionar convenios, alianzas y proyectos en coordinación con el estado</w:t>
            </w:r>
            <w:r>
              <w:rPr>
                <w:spacing w:val="-14"/>
                <w:sz w:val="20"/>
              </w:rPr>
              <w:t> </w:t>
            </w:r>
            <w:r>
              <w:rPr>
                <w:sz w:val="20"/>
              </w:rPr>
              <w:t>plurinacional.</w:t>
            </w:r>
          </w:p>
          <w:p>
            <w:pPr>
              <w:pStyle w:val="TableParagraph"/>
              <w:numPr>
                <w:ilvl w:val="0"/>
                <w:numId w:val="35"/>
              </w:numPr>
              <w:tabs>
                <w:tab w:pos="825" w:val="left" w:leader="none"/>
                <w:tab w:pos="826" w:val="left" w:leader="none"/>
              </w:tabs>
              <w:spacing w:line="240" w:lineRule="auto" w:before="0" w:after="0"/>
              <w:ind w:left="825" w:right="135" w:hanging="361"/>
              <w:jc w:val="left"/>
              <w:rPr>
                <w:sz w:val="20"/>
              </w:rPr>
            </w:pPr>
            <w:r>
              <w:rPr>
                <w:sz w:val="20"/>
              </w:rPr>
              <w:t>Las carreras tienen orientación productiva, descolonizadora,</w:t>
            </w:r>
            <w:r>
              <w:rPr>
                <w:spacing w:val="-16"/>
                <w:sz w:val="20"/>
              </w:rPr>
              <w:t> </w:t>
            </w:r>
            <w:r>
              <w:rPr>
                <w:sz w:val="20"/>
              </w:rPr>
              <w:t>comunitaria, intra e intercultural, plurilingüe, que buscan el sumaq kawsay.</w:t>
            </w:r>
          </w:p>
          <w:p>
            <w:pPr>
              <w:pStyle w:val="TableParagraph"/>
              <w:numPr>
                <w:ilvl w:val="0"/>
                <w:numId w:val="35"/>
              </w:numPr>
              <w:tabs>
                <w:tab w:pos="825" w:val="left" w:leader="none"/>
                <w:tab w:pos="826" w:val="left" w:leader="none"/>
              </w:tabs>
              <w:spacing w:line="240" w:lineRule="auto" w:before="0" w:after="0"/>
              <w:ind w:left="825" w:right="357" w:hanging="361"/>
              <w:jc w:val="left"/>
              <w:rPr>
                <w:sz w:val="20"/>
              </w:rPr>
            </w:pPr>
            <w:r>
              <w:rPr>
                <w:sz w:val="20"/>
              </w:rPr>
              <w:t>Institución reconocida y apoyada por</w:t>
            </w:r>
            <w:r>
              <w:rPr>
                <w:spacing w:val="-13"/>
                <w:sz w:val="20"/>
              </w:rPr>
              <w:t> </w:t>
            </w:r>
            <w:r>
              <w:rPr>
                <w:sz w:val="20"/>
              </w:rPr>
              <w:t>el Estado Plurinacional de Bolivia y organizaciones sociales.</w:t>
            </w:r>
          </w:p>
          <w:p>
            <w:pPr>
              <w:pStyle w:val="TableParagraph"/>
              <w:numPr>
                <w:ilvl w:val="0"/>
                <w:numId w:val="35"/>
              </w:numPr>
              <w:tabs>
                <w:tab w:pos="825" w:val="left" w:leader="none"/>
                <w:tab w:pos="826" w:val="left" w:leader="none"/>
              </w:tabs>
              <w:spacing w:line="240" w:lineRule="auto" w:before="0" w:after="0"/>
              <w:ind w:left="825" w:right="257" w:hanging="361"/>
              <w:jc w:val="left"/>
              <w:rPr>
                <w:sz w:val="20"/>
              </w:rPr>
            </w:pPr>
            <w:r>
              <w:rPr>
                <w:sz w:val="20"/>
              </w:rPr>
              <w:t>La universidad tiene definida su visión y misión, de formar profesionales</w:t>
            </w:r>
            <w:r>
              <w:rPr>
                <w:spacing w:val="-13"/>
                <w:sz w:val="20"/>
              </w:rPr>
              <w:t> </w:t>
            </w:r>
            <w:r>
              <w:rPr>
                <w:sz w:val="20"/>
              </w:rPr>
              <w:t>íntegros para el servicio de su</w:t>
            </w:r>
            <w:r>
              <w:rPr>
                <w:spacing w:val="-3"/>
                <w:sz w:val="20"/>
              </w:rPr>
              <w:t> </w:t>
            </w:r>
            <w:r>
              <w:rPr>
                <w:sz w:val="20"/>
              </w:rPr>
              <w:t>comunidad.</w:t>
            </w:r>
          </w:p>
          <w:p>
            <w:pPr>
              <w:pStyle w:val="TableParagraph"/>
              <w:numPr>
                <w:ilvl w:val="0"/>
                <w:numId w:val="35"/>
              </w:numPr>
              <w:tabs>
                <w:tab w:pos="825" w:val="left" w:leader="none"/>
                <w:tab w:pos="826" w:val="left" w:leader="none"/>
              </w:tabs>
              <w:spacing w:line="240" w:lineRule="auto" w:before="0" w:after="0"/>
              <w:ind w:left="825" w:right="117" w:hanging="361"/>
              <w:jc w:val="left"/>
              <w:rPr>
                <w:sz w:val="20"/>
              </w:rPr>
            </w:pPr>
            <w:r>
              <w:rPr>
                <w:sz w:val="20"/>
              </w:rPr>
              <w:t>Institución reconocida por el Estado mediante sus normas constitucionales,</w:t>
            </w:r>
            <w:r>
              <w:rPr>
                <w:spacing w:val="-15"/>
                <w:sz w:val="20"/>
              </w:rPr>
              <w:t> </w:t>
            </w:r>
            <w:r>
              <w:rPr>
                <w:sz w:val="20"/>
              </w:rPr>
              <w:t>ley educativa (Ley 070) y decreto supremo Nro. 29664 de</w:t>
            </w:r>
            <w:r>
              <w:rPr>
                <w:spacing w:val="-3"/>
                <w:sz w:val="20"/>
              </w:rPr>
              <w:t> </w:t>
            </w:r>
            <w:r>
              <w:rPr>
                <w:sz w:val="20"/>
              </w:rPr>
              <w:t>creación.</w:t>
            </w:r>
          </w:p>
          <w:p>
            <w:pPr>
              <w:pStyle w:val="TableParagraph"/>
              <w:numPr>
                <w:ilvl w:val="0"/>
                <w:numId w:val="35"/>
              </w:numPr>
              <w:tabs>
                <w:tab w:pos="825" w:val="left" w:leader="none"/>
                <w:tab w:pos="826" w:val="left" w:leader="none"/>
              </w:tabs>
              <w:spacing w:line="240" w:lineRule="auto" w:before="0" w:after="0"/>
              <w:ind w:left="825" w:right="260" w:hanging="361"/>
              <w:jc w:val="left"/>
              <w:rPr>
                <w:sz w:val="20"/>
              </w:rPr>
            </w:pPr>
            <w:r>
              <w:rPr>
                <w:sz w:val="20"/>
              </w:rPr>
              <w:t>Cuenta con apoyo económico o</w:t>
            </w:r>
            <w:r>
              <w:rPr>
                <w:spacing w:val="-14"/>
                <w:sz w:val="20"/>
              </w:rPr>
              <w:t> </w:t>
            </w:r>
            <w:r>
              <w:rPr>
                <w:sz w:val="20"/>
              </w:rPr>
              <w:t>recursos para su</w:t>
            </w:r>
            <w:r>
              <w:rPr>
                <w:spacing w:val="-1"/>
                <w:sz w:val="20"/>
              </w:rPr>
              <w:t> </w:t>
            </w:r>
            <w:r>
              <w:rPr>
                <w:sz w:val="20"/>
              </w:rPr>
              <w:t>funcionamiento.</w:t>
            </w:r>
          </w:p>
          <w:p>
            <w:pPr>
              <w:pStyle w:val="TableParagraph"/>
              <w:numPr>
                <w:ilvl w:val="0"/>
                <w:numId w:val="35"/>
              </w:numPr>
              <w:tabs>
                <w:tab w:pos="825" w:val="left" w:leader="none"/>
                <w:tab w:pos="826" w:val="left" w:leader="none"/>
              </w:tabs>
              <w:spacing w:line="240" w:lineRule="auto" w:before="0" w:after="0"/>
              <w:ind w:left="825" w:right="632" w:hanging="361"/>
              <w:jc w:val="left"/>
              <w:rPr>
                <w:sz w:val="20"/>
              </w:rPr>
            </w:pPr>
            <w:r>
              <w:rPr>
                <w:sz w:val="20"/>
              </w:rPr>
              <w:t>Se tiene una relación directa con las organizaciones del pacto de</w:t>
            </w:r>
            <w:r>
              <w:rPr>
                <w:spacing w:val="-5"/>
                <w:sz w:val="20"/>
              </w:rPr>
              <w:t> </w:t>
            </w:r>
            <w:r>
              <w:rPr>
                <w:sz w:val="20"/>
              </w:rPr>
              <w:t>unidad.</w:t>
            </w:r>
          </w:p>
          <w:p>
            <w:pPr>
              <w:pStyle w:val="TableParagraph"/>
              <w:numPr>
                <w:ilvl w:val="0"/>
                <w:numId w:val="35"/>
              </w:numPr>
              <w:tabs>
                <w:tab w:pos="825" w:val="left" w:leader="none"/>
                <w:tab w:pos="826" w:val="left" w:leader="none"/>
              </w:tabs>
              <w:spacing w:line="240" w:lineRule="auto" w:before="0" w:after="0"/>
              <w:ind w:left="825" w:right="540" w:hanging="361"/>
              <w:jc w:val="left"/>
              <w:rPr>
                <w:sz w:val="20"/>
              </w:rPr>
            </w:pPr>
            <w:r>
              <w:rPr>
                <w:sz w:val="20"/>
              </w:rPr>
              <w:t>Universidad con enfoque</w:t>
            </w:r>
            <w:r>
              <w:rPr>
                <w:spacing w:val="-13"/>
                <w:sz w:val="20"/>
              </w:rPr>
              <w:t> </w:t>
            </w:r>
            <w:r>
              <w:rPr>
                <w:sz w:val="20"/>
              </w:rPr>
              <w:t>pedagógico indígena, sustentada por saberes ancestrales.</w:t>
            </w:r>
          </w:p>
          <w:p>
            <w:pPr>
              <w:pStyle w:val="TableParagraph"/>
              <w:numPr>
                <w:ilvl w:val="0"/>
                <w:numId w:val="35"/>
              </w:numPr>
              <w:tabs>
                <w:tab w:pos="825" w:val="left" w:leader="none"/>
                <w:tab w:pos="826" w:val="left" w:leader="none"/>
              </w:tabs>
              <w:spacing w:line="240" w:lineRule="auto" w:before="0" w:after="0"/>
              <w:ind w:left="825" w:right="595" w:hanging="361"/>
              <w:jc w:val="left"/>
              <w:rPr>
                <w:sz w:val="20"/>
              </w:rPr>
            </w:pPr>
            <w:r>
              <w:rPr>
                <w:sz w:val="20"/>
              </w:rPr>
              <w:t>Se cuenta con una carrera de Ing.</w:t>
            </w:r>
            <w:r>
              <w:rPr>
                <w:spacing w:val="-15"/>
                <w:sz w:val="20"/>
              </w:rPr>
              <w:t> </w:t>
            </w:r>
            <w:r>
              <w:rPr>
                <w:sz w:val="20"/>
              </w:rPr>
              <w:t>en Acuicultura que es única en el</w:t>
            </w:r>
            <w:r>
              <w:rPr>
                <w:spacing w:val="-9"/>
                <w:sz w:val="20"/>
              </w:rPr>
              <w:t> </w:t>
            </w:r>
            <w:r>
              <w:rPr>
                <w:sz w:val="20"/>
              </w:rPr>
              <w:t>país.</w:t>
            </w:r>
          </w:p>
          <w:p>
            <w:pPr>
              <w:pStyle w:val="TableParagraph"/>
              <w:numPr>
                <w:ilvl w:val="0"/>
                <w:numId w:val="35"/>
              </w:numPr>
              <w:tabs>
                <w:tab w:pos="826" w:val="left" w:leader="none"/>
              </w:tabs>
              <w:spacing w:line="240" w:lineRule="auto" w:before="0" w:after="0"/>
              <w:ind w:left="825" w:right="195" w:hanging="361"/>
              <w:jc w:val="left"/>
              <w:rPr>
                <w:sz w:val="20"/>
              </w:rPr>
            </w:pPr>
            <w:r>
              <w:rPr>
                <w:sz w:val="20"/>
              </w:rPr>
              <w:t>Se cuenta con infraestructura básica</w:t>
            </w:r>
            <w:r>
              <w:rPr>
                <w:spacing w:val="-14"/>
                <w:sz w:val="20"/>
              </w:rPr>
              <w:t> </w:t>
            </w:r>
            <w:r>
              <w:rPr>
                <w:sz w:val="20"/>
              </w:rPr>
              <w:t>para su</w:t>
            </w:r>
            <w:r>
              <w:rPr>
                <w:spacing w:val="-1"/>
                <w:sz w:val="20"/>
              </w:rPr>
              <w:t> </w:t>
            </w:r>
            <w:r>
              <w:rPr>
                <w:sz w:val="20"/>
              </w:rPr>
              <w:t>desenvolvimiento.</w:t>
            </w:r>
          </w:p>
          <w:p>
            <w:pPr>
              <w:pStyle w:val="TableParagraph"/>
              <w:numPr>
                <w:ilvl w:val="0"/>
                <w:numId w:val="35"/>
              </w:numPr>
              <w:tabs>
                <w:tab w:pos="826" w:val="left" w:leader="none"/>
              </w:tabs>
              <w:spacing w:line="240" w:lineRule="auto" w:before="0" w:after="0"/>
              <w:ind w:left="825" w:right="518" w:hanging="361"/>
              <w:jc w:val="left"/>
              <w:rPr>
                <w:sz w:val="20"/>
              </w:rPr>
            </w:pPr>
            <w:r>
              <w:rPr>
                <w:sz w:val="20"/>
              </w:rPr>
              <w:t>La UNIBOL brinda educación superior productiva que responde a las necesidades del Estado</w:t>
            </w:r>
            <w:r>
              <w:rPr>
                <w:spacing w:val="-14"/>
                <w:sz w:val="20"/>
              </w:rPr>
              <w:t> </w:t>
            </w:r>
            <w:r>
              <w:rPr>
                <w:sz w:val="20"/>
              </w:rPr>
              <w:t>Plurinacional.</w:t>
            </w:r>
          </w:p>
        </w:tc>
        <w:tc>
          <w:tcPr>
            <w:tcW w:w="5811" w:type="dxa"/>
          </w:tcPr>
          <w:p>
            <w:pPr>
              <w:pStyle w:val="TableParagraph"/>
              <w:tabs>
                <w:tab w:pos="468" w:val="left" w:leader="none"/>
              </w:tabs>
              <w:ind w:left="468" w:right="616" w:hanging="360"/>
              <w:rPr>
                <w:sz w:val="20"/>
              </w:rPr>
            </w:pPr>
            <w:r>
              <w:rPr>
                <w:sz w:val="20"/>
              </w:rPr>
              <w:t>1.</w:t>
              <w:tab/>
              <w:t>Captación y gestión de recursos económicos de</w:t>
            </w:r>
            <w:r>
              <w:rPr>
                <w:spacing w:val="-17"/>
                <w:sz w:val="20"/>
              </w:rPr>
              <w:t> </w:t>
            </w:r>
            <w:r>
              <w:rPr>
                <w:sz w:val="20"/>
              </w:rPr>
              <w:t>diferentes instancias o entidades autónomas públicas y</w:t>
            </w:r>
            <w:r>
              <w:rPr>
                <w:spacing w:val="-14"/>
                <w:sz w:val="20"/>
              </w:rPr>
              <w:t> </w:t>
            </w:r>
            <w:r>
              <w:rPr>
                <w:sz w:val="20"/>
              </w:rPr>
              <w:t>privadas.</w:t>
            </w:r>
          </w:p>
          <w:p>
            <w:pPr>
              <w:pStyle w:val="TableParagraph"/>
              <w:numPr>
                <w:ilvl w:val="0"/>
                <w:numId w:val="36"/>
              </w:numPr>
              <w:tabs>
                <w:tab w:pos="468" w:val="left" w:leader="none"/>
                <w:tab w:pos="469" w:val="left" w:leader="none"/>
              </w:tabs>
              <w:spacing w:line="240" w:lineRule="auto" w:before="0" w:after="0"/>
              <w:ind w:left="468" w:right="265" w:hanging="360"/>
              <w:jc w:val="left"/>
              <w:rPr>
                <w:sz w:val="20"/>
              </w:rPr>
            </w:pPr>
            <w:r>
              <w:rPr>
                <w:sz w:val="20"/>
              </w:rPr>
              <w:t>Por la formación integral la UNIBOL es altamente reconocida</w:t>
            </w:r>
            <w:r>
              <w:rPr>
                <w:spacing w:val="-18"/>
                <w:sz w:val="20"/>
              </w:rPr>
              <w:t> </w:t>
            </w:r>
            <w:r>
              <w:rPr>
                <w:sz w:val="20"/>
              </w:rPr>
              <w:t>a nivel nacional e</w:t>
            </w:r>
            <w:r>
              <w:rPr>
                <w:spacing w:val="-2"/>
                <w:sz w:val="20"/>
              </w:rPr>
              <w:t> </w:t>
            </w:r>
            <w:r>
              <w:rPr>
                <w:sz w:val="20"/>
              </w:rPr>
              <w:t>internacional.</w:t>
            </w:r>
          </w:p>
          <w:p>
            <w:pPr>
              <w:pStyle w:val="TableParagraph"/>
              <w:numPr>
                <w:ilvl w:val="0"/>
                <w:numId w:val="36"/>
              </w:numPr>
              <w:tabs>
                <w:tab w:pos="468" w:val="left" w:leader="none"/>
                <w:tab w:pos="469" w:val="left" w:leader="none"/>
              </w:tabs>
              <w:spacing w:line="240" w:lineRule="auto" w:before="0" w:after="0"/>
              <w:ind w:left="468" w:right="211" w:hanging="360"/>
              <w:jc w:val="left"/>
              <w:rPr>
                <w:sz w:val="20"/>
              </w:rPr>
            </w:pPr>
            <w:r>
              <w:rPr>
                <w:sz w:val="20"/>
              </w:rPr>
              <w:t>La UNIBOL potencia y expande la cultura quechua y los</w:t>
            </w:r>
            <w:r>
              <w:rPr>
                <w:spacing w:val="-21"/>
                <w:sz w:val="20"/>
              </w:rPr>
              <w:t> </w:t>
            </w:r>
            <w:r>
              <w:rPr>
                <w:sz w:val="20"/>
              </w:rPr>
              <w:t>saberes ancestrales en la formación</w:t>
            </w:r>
            <w:r>
              <w:rPr>
                <w:spacing w:val="-3"/>
                <w:sz w:val="20"/>
              </w:rPr>
              <w:t> </w:t>
            </w:r>
            <w:r>
              <w:rPr>
                <w:sz w:val="20"/>
              </w:rPr>
              <w:t>superior.</w:t>
            </w:r>
          </w:p>
          <w:p>
            <w:pPr>
              <w:pStyle w:val="TableParagraph"/>
              <w:numPr>
                <w:ilvl w:val="0"/>
                <w:numId w:val="36"/>
              </w:numPr>
              <w:tabs>
                <w:tab w:pos="468" w:val="left" w:leader="none"/>
                <w:tab w:pos="469" w:val="left" w:leader="none"/>
              </w:tabs>
              <w:spacing w:line="240" w:lineRule="auto" w:before="0" w:after="0"/>
              <w:ind w:left="468" w:right="226" w:hanging="360"/>
              <w:jc w:val="left"/>
              <w:rPr>
                <w:sz w:val="20"/>
              </w:rPr>
            </w:pPr>
            <w:r>
              <w:rPr>
                <w:sz w:val="20"/>
              </w:rPr>
              <w:t>Institución generadora de emprendimientos productivos comunitarios, como también fortalece a empresas</w:t>
            </w:r>
            <w:r>
              <w:rPr>
                <w:spacing w:val="-19"/>
                <w:sz w:val="20"/>
              </w:rPr>
              <w:t> </w:t>
            </w:r>
            <w:r>
              <w:rPr>
                <w:sz w:val="20"/>
              </w:rPr>
              <w:t>estratégicas del Estado</w:t>
            </w:r>
            <w:r>
              <w:rPr>
                <w:spacing w:val="-1"/>
                <w:sz w:val="20"/>
              </w:rPr>
              <w:t> </w:t>
            </w:r>
            <w:r>
              <w:rPr>
                <w:sz w:val="20"/>
              </w:rPr>
              <w:t>Plurinacional.</w:t>
            </w:r>
          </w:p>
          <w:p>
            <w:pPr>
              <w:pStyle w:val="TableParagraph"/>
              <w:numPr>
                <w:ilvl w:val="0"/>
                <w:numId w:val="36"/>
              </w:numPr>
              <w:tabs>
                <w:tab w:pos="468" w:val="left" w:leader="none"/>
                <w:tab w:pos="469" w:val="left" w:leader="none"/>
              </w:tabs>
              <w:spacing w:line="240" w:lineRule="auto" w:before="0" w:after="0"/>
              <w:ind w:left="468" w:right="612" w:hanging="360"/>
              <w:jc w:val="left"/>
              <w:rPr>
                <w:sz w:val="20"/>
              </w:rPr>
            </w:pPr>
            <w:r>
              <w:rPr>
                <w:sz w:val="20"/>
              </w:rPr>
              <w:t>El reconocimiento institucional genera mayor afluencia</w:t>
            </w:r>
            <w:r>
              <w:rPr>
                <w:spacing w:val="-19"/>
                <w:sz w:val="20"/>
              </w:rPr>
              <w:t> </w:t>
            </w:r>
            <w:r>
              <w:rPr>
                <w:sz w:val="20"/>
              </w:rPr>
              <w:t>de estudiantes a nivel del Estado</w:t>
            </w:r>
            <w:r>
              <w:rPr>
                <w:spacing w:val="-3"/>
                <w:sz w:val="20"/>
              </w:rPr>
              <w:t> </w:t>
            </w:r>
            <w:r>
              <w:rPr>
                <w:sz w:val="20"/>
              </w:rPr>
              <w:t>Plurinacional.</w:t>
            </w:r>
          </w:p>
          <w:p>
            <w:pPr>
              <w:pStyle w:val="TableParagraph"/>
              <w:numPr>
                <w:ilvl w:val="0"/>
                <w:numId w:val="36"/>
              </w:numPr>
              <w:tabs>
                <w:tab w:pos="468" w:val="left" w:leader="none"/>
                <w:tab w:pos="469" w:val="left" w:leader="none"/>
              </w:tabs>
              <w:spacing w:line="240" w:lineRule="auto" w:before="0" w:after="0"/>
              <w:ind w:left="468" w:right="240" w:hanging="360"/>
              <w:jc w:val="left"/>
              <w:rPr>
                <w:sz w:val="20"/>
              </w:rPr>
            </w:pPr>
            <w:r>
              <w:rPr>
                <w:sz w:val="20"/>
              </w:rPr>
              <w:t>Genera profesionales altamente capacitados para el</w:t>
            </w:r>
            <w:r>
              <w:rPr>
                <w:spacing w:val="-16"/>
                <w:sz w:val="20"/>
              </w:rPr>
              <w:t> </w:t>
            </w:r>
            <w:r>
              <w:rPr>
                <w:sz w:val="20"/>
              </w:rPr>
              <w:t>desarrollo de las</w:t>
            </w:r>
            <w:r>
              <w:rPr>
                <w:spacing w:val="-4"/>
                <w:sz w:val="20"/>
              </w:rPr>
              <w:t> </w:t>
            </w:r>
            <w:r>
              <w:rPr>
                <w:sz w:val="20"/>
              </w:rPr>
              <w:t>comunidades.</w:t>
            </w:r>
          </w:p>
          <w:p>
            <w:pPr>
              <w:pStyle w:val="TableParagraph"/>
              <w:numPr>
                <w:ilvl w:val="0"/>
                <w:numId w:val="36"/>
              </w:numPr>
              <w:tabs>
                <w:tab w:pos="468" w:val="left" w:leader="none"/>
                <w:tab w:pos="469" w:val="left" w:leader="none"/>
              </w:tabs>
              <w:spacing w:line="240" w:lineRule="auto" w:before="0" w:after="0"/>
              <w:ind w:left="468" w:right="168" w:hanging="360"/>
              <w:jc w:val="left"/>
              <w:rPr>
                <w:sz w:val="20"/>
              </w:rPr>
            </w:pPr>
            <w:r>
              <w:rPr>
                <w:sz w:val="20"/>
              </w:rPr>
              <w:t>La UNIBOL se constituye en un centro productivo, investigativo, comunitario a nivel</w:t>
            </w:r>
            <w:r>
              <w:rPr>
                <w:spacing w:val="-1"/>
                <w:sz w:val="20"/>
              </w:rPr>
              <w:t> </w:t>
            </w:r>
            <w:r>
              <w:rPr>
                <w:sz w:val="20"/>
              </w:rPr>
              <w:t>nacional.</w:t>
            </w:r>
          </w:p>
          <w:p>
            <w:pPr>
              <w:pStyle w:val="TableParagraph"/>
              <w:numPr>
                <w:ilvl w:val="0"/>
                <w:numId w:val="36"/>
              </w:numPr>
              <w:tabs>
                <w:tab w:pos="469" w:val="left" w:leader="none"/>
              </w:tabs>
              <w:spacing w:line="240" w:lineRule="auto" w:before="0" w:after="0"/>
              <w:ind w:left="468" w:right="196" w:hanging="360"/>
              <w:jc w:val="left"/>
              <w:rPr>
                <w:sz w:val="20"/>
              </w:rPr>
            </w:pPr>
            <w:r>
              <w:rPr>
                <w:sz w:val="20"/>
              </w:rPr>
              <w:t>Realiza estudios e investigaciones científicas innovadoras</w:t>
            </w:r>
            <w:r>
              <w:rPr>
                <w:spacing w:val="-23"/>
                <w:sz w:val="20"/>
              </w:rPr>
              <w:t> </w:t>
            </w:r>
            <w:r>
              <w:rPr>
                <w:sz w:val="20"/>
              </w:rPr>
              <w:t>sobre diferentes temáticas de desarrollo nacional desde la mirada holística.</w:t>
            </w:r>
          </w:p>
          <w:p>
            <w:pPr>
              <w:pStyle w:val="TableParagraph"/>
              <w:numPr>
                <w:ilvl w:val="0"/>
                <w:numId w:val="36"/>
              </w:numPr>
              <w:tabs>
                <w:tab w:pos="469" w:val="left" w:leader="none"/>
              </w:tabs>
              <w:spacing w:line="240" w:lineRule="auto" w:before="0" w:after="0"/>
              <w:ind w:left="468" w:right="177" w:hanging="360"/>
              <w:jc w:val="left"/>
              <w:rPr>
                <w:sz w:val="20"/>
              </w:rPr>
            </w:pPr>
            <w:r>
              <w:rPr>
                <w:sz w:val="20"/>
              </w:rPr>
              <w:t>Apoyar en la elaboración de proyectos y módulos productivos</w:t>
            </w:r>
            <w:r>
              <w:rPr>
                <w:spacing w:val="-19"/>
                <w:sz w:val="20"/>
              </w:rPr>
              <w:t> </w:t>
            </w:r>
            <w:r>
              <w:rPr>
                <w:sz w:val="20"/>
              </w:rPr>
              <w:t>a nivel</w:t>
            </w:r>
            <w:r>
              <w:rPr>
                <w:spacing w:val="-1"/>
                <w:sz w:val="20"/>
              </w:rPr>
              <w:t> </w:t>
            </w:r>
            <w:r>
              <w:rPr>
                <w:sz w:val="20"/>
              </w:rPr>
              <w:t>nacional.</w:t>
            </w:r>
          </w:p>
          <w:p>
            <w:pPr>
              <w:pStyle w:val="TableParagraph"/>
              <w:numPr>
                <w:ilvl w:val="0"/>
                <w:numId w:val="36"/>
              </w:numPr>
              <w:tabs>
                <w:tab w:pos="469" w:val="left" w:leader="none"/>
              </w:tabs>
              <w:spacing w:line="240" w:lineRule="auto" w:before="0" w:after="0"/>
              <w:ind w:left="468" w:right="265" w:hanging="360"/>
              <w:jc w:val="left"/>
              <w:rPr>
                <w:sz w:val="20"/>
              </w:rPr>
            </w:pPr>
            <w:r>
              <w:rPr>
                <w:sz w:val="20"/>
              </w:rPr>
              <w:t>Poner en práctica sus aprendizajes mediante la elaboración</w:t>
            </w:r>
            <w:r>
              <w:rPr>
                <w:spacing w:val="-18"/>
                <w:sz w:val="20"/>
              </w:rPr>
              <w:t> </w:t>
            </w:r>
            <w:r>
              <w:rPr>
                <w:sz w:val="20"/>
              </w:rPr>
              <w:t>de proyectos para el desarrollo de sus</w:t>
            </w:r>
            <w:r>
              <w:rPr>
                <w:spacing w:val="-8"/>
                <w:sz w:val="20"/>
              </w:rPr>
              <w:t> </w:t>
            </w:r>
            <w:r>
              <w:rPr>
                <w:sz w:val="20"/>
              </w:rPr>
              <w:t>comunidades.</w:t>
            </w:r>
          </w:p>
          <w:p>
            <w:pPr>
              <w:pStyle w:val="TableParagraph"/>
              <w:numPr>
                <w:ilvl w:val="0"/>
                <w:numId w:val="36"/>
              </w:numPr>
              <w:tabs>
                <w:tab w:pos="469" w:val="left" w:leader="none"/>
              </w:tabs>
              <w:spacing w:line="240" w:lineRule="auto" w:before="0" w:after="0"/>
              <w:ind w:left="468" w:right="443" w:hanging="360"/>
              <w:jc w:val="left"/>
              <w:rPr>
                <w:sz w:val="20"/>
              </w:rPr>
            </w:pPr>
            <w:r>
              <w:rPr>
                <w:sz w:val="20"/>
              </w:rPr>
              <w:t>Oportunidad de fusionar los conocimientos ancestrales y</w:t>
            </w:r>
            <w:r>
              <w:rPr>
                <w:spacing w:val="-22"/>
                <w:sz w:val="20"/>
              </w:rPr>
              <w:t> </w:t>
            </w:r>
            <w:r>
              <w:rPr>
                <w:sz w:val="20"/>
              </w:rPr>
              <w:t>los conocimientos</w:t>
            </w:r>
            <w:r>
              <w:rPr>
                <w:spacing w:val="-3"/>
                <w:sz w:val="20"/>
              </w:rPr>
              <w:t> </w:t>
            </w:r>
            <w:r>
              <w:rPr>
                <w:sz w:val="20"/>
              </w:rPr>
              <w:t>tecnológicos.</w:t>
            </w:r>
          </w:p>
          <w:p>
            <w:pPr>
              <w:pStyle w:val="TableParagraph"/>
              <w:numPr>
                <w:ilvl w:val="0"/>
                <w:numId w:val="36"/>
              </w:numPr>
              <w:tabs>
                <w:tab w:pos="469" w:val="left" w:leader="none"/>
              </w:tabs>
              <w:spacing w:line="240" w:lineRule="auto" w:before="0" w:after="0"/>
              <w:ind w:left="468" w:right="724" w:hanging="360"/>
              <w:jc w:val="left"/>
              <w:rPr>
                <w:sz w:val="20"/>
              </w:rPr>
            </w:pPr>
            <w:r>
              <w:rPr>
                <w:sz w:val="20"/>
              </w:rPr>
              <w:t>La UNIBOL está en condiciones de realizar convenios con instituciones</w:t>
            </w:r>
            <w:r>
              <w:rPr>
                <w:spacing w:val="-3"/>
                <w:sz w:val="20"/>
              </w:rPr>
              <w:t> </w:t>
            </w:r>
            <w:r>
              <w:rPr>
                <w:sz w:val="20"/>
              </w:rPr>
              <w:t>gubernamentales.</w:t>
            </w:r>
          </w:p>
          <w:p>
            <w:pPr>
              <w:pStyle w:val="TableParagraph"/>
              <w:numPr>
                <w:ilvl w:val="0"/>
                <w:numId w:val="36"/>
              </w:numPr>
              <w:tabs>
                <w:tab w:pos="469" w:val="left" w:leader="none"/>
              </w:tabs>
              <w:spacing w:line="240" w:lineRule="auto" w:before="0" w:after="0"/>
              <w:ind w:left="468" w:right="125" w:hanging="360"/>
              <w:jc w:val="left"/>
              <w:rPr>
                <w:sz w:val="20"/>
              </w:rPr>
            </w:pPr>
            <w:r>
              <w:rPr>
                <w:sz w:val="20"/>
              </w:rPr>
              <w:t>Difundir y captar jóvenes interesados en estudiar las carreras</w:t>
            </w:r>
            <w:r>
              <w:rPr>
                <w:spacing w:val="-27"/>
                <w:sz w:val="20"/>
              </w:rPr>
              <w:t> </w:t>
            </w:r>
            <w:r>
              <w:rPr>
                <w:sz w:val="20"/>
              </w:rPr>
              <w:t>de su</w:t>
            </w:r>
            <w:r>
              <w:rPr>
                <w:spacing w:val="-1"/>
                <w:sz w:val="20"/>
              </w:rPr>
              <w:t> </w:t>
            </w:r>
            <w:r>
              <w:rPr>
                <w:sz w:val="20"/>
              </w:rPr>
              <w:t>vocación.</w:t>
            </w:r>
          </w:p>
          <w:p>
            <w:pPr>
              <w:pStyle w:val="TableParagraph"/>
              <w:numPr>
                <w:ilvl w:val="0"/>
                <w:numId w:val="36"/>
              </w:numPr>
              <w:tabs>
                <w:tab w:pos="469" w:val="left" w:leader="none"/>
              </w:tabs>
              <w:spacing w:line="240" w:lineRule="auto" w:before="0" w:after="0"/>
              <w:ind w:left="468" w:right="638" w:hanging="360"/>
              <w:jc w:val="left"/>
              <w:rPr>
                <w:sz w:val="20"/>
              </w:rPr>
            </w:pPr>
            <w:r>
              <w:rPr>
                <w:sz w:val="20"/>
              </w:rPr>
              <w:t>Contar con una ley nacional que de respaldo</w:t>
            </w:r>
            <w:r>
              <w:rPr>
                <w:spacing w:val="-22"/>
                <w:sz w:val="20"/>
              </w:rPr>
              <w:t> </w:t>
            </w:r>
            <w:r>
              <w:rPr>
                <w:sz w:val="20"/>
              </w:rPr>
              <w:t>institucional, financiera y sostenible para su</w:t>
            </w:r>
            <w:r>
              <w:rPr>
                <w:spacing w:val="-5"/>
                <w:sz w:val="20"/>
              </w:rPr>
              <w:t> </w:t>
            </w:r>
            <w:r>
              <w:rPr>
                <w:sz w:val="20"/>
              </w:rPr>
              <w:t>funcionamiento.</w:t>
            </w:r>
          </w:p>
          <w:p>
            <w:pPr>
              <w:pStyle w:val="TableParagraph"/>
              <w:numPr>
                <w:ilvl w:val="0"/>
                <w:numId w:val="36"/>
              </w:numPr>
              <w:tabs>
                <w:tab w:pos="469" w:val="left" w:leader="none"/>
              </w:tabs>
              <w:spacing w:line="240" w:lineRule="auto" w:before="0" w:after="0"/>
              <w:ind w:left="468" w:right="254" w:hanging="360"/>
              <w:jc w:val="left"/>
              <w:rPr>
                <w:sz w:val="20"/>
              </w:rPr>
            </w:pPr>
            <w:r>
              <w:rPr>
                <w:sz w:val="20"/>
              </w:rPr>
              <w:t>Apoyar en la política de desarrollo de la soberanía</w:t>
            </w:r>
            <w:r>
              <w:rPr>
                <w:spacing w:val="-22"/>
                <w:sz w:val="20"/>
              </w:rPr>
              <w:t> </w:t>
            </w:r>
            <w:r>
              <w:rPr>
                <w:sz w:val="20"/>
              </w:rPr>
              <w:t>alimentaria, científica y tecnológica. Incorporándose en las ciudadelas científicas e institutos de desarrollo, acorde a la agenda patriótica</w:t>
            </w:r>
            <w:r>
              <w:rPr>
                <w:spacing w:val="-1"/>
                <w:sz w:val="20"/>
              </w:rPr>
              <w:t> </w:t>
            </w:r>
            <w:r>
              <w:rPr>
                <w:sz w:val="20"/>
              </w:rPr>
              <w:t>2025.</w:t>
            </w:r>
          </w:p>
          <w:p>
            <w:pPr>
              <w:pStyle w:val="TableParagraph"/>
              <w:numPr>
                <w:ilvl w:val="0"/>
                <w:numId w:val="36"/>
              </w:numPr>
              <w:tabs>
                <w:tab w:pos="469" w:val="left" w:leader="none"/>
              </w:tabs>
              <w:spacing w:line="240" w:lineRule="auto" w:before="0" w:after="0"/>
              <w:ind w:left="468" w:right="601" w:hanging="360"/>
              <w:jc w:val="left"/>
              <w:rPr>
                <w:sz w:val="20"/>
              </w:rPr>
            </w:pPr>
            <w:r>
              <w:rPr>
                <w:sz w:val="20"/>
              </w:rPr>
              <w:t>Expandir a nivel nacional la formación de postgrados (diplomados, especialidades, maestrías, doctorados y</w:t>
            </w:r>
            <w:r>
              <w:rPr>
                <w:spacing w:val="-18"/>
                <w:sz w:val="20"/>
              </w:rPr>
              <w:t> </w:t>
            </w:r>
            <w:r>
              <w:rPr>
                <w:sz w:val="20"/>
              </w:rPr>
              <w:t>post</w:t>
            </w:r>
          </w:p>
          <w:p>
            <w:pPr>
              <w:pStyle w:val="TableParagraph"/>
              <w:spacing w:line="225" w:lineRule="exact"/>
              <w:ind w:left="468"/>
              <w:rPr>
                <w:sz w:val="20"/>
              </w:rPr>
            </w:pPr>
            <w:r>
              <w:rPr>
                <w:sz w:val="20"/>
              </w:rPr>
              <w:t>doctorados) con mirada integral holística.</w:t>
            </w:r>
          </w:p>
        </w:tc>
      </w:tr>
    </w:tbl>
    <w:p>
      <w:pPr>
        <w:spacing w:after="0" w:line="225" w:lineRule="exact"/>
        <w:rPr>
          <w:sz w:val="20"/>
        </w:rPr>
        <w:sectPr>
          <w:pgSz w:w="11910" w:h="16840"/>
          <w:pgMar w:header="0" w:footer="922" w:top="1400" w:bottom="1200" w:left="620" w:right="280"/>
        </w:sectPr>
      </w:pPr>
    </w:p>
    <w:p>
      <w:pPr>
        <w:pStyle w:val="BodyText"/>
        <w:spacing w:before="10"/>
        <w:rPr>
          <w:rFonts w:ascii="Cambria"/>
          <w:b/>
          <w:sz w:val="27"/>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3"/>
        <w:gridCol w:w="5247"/>
      </w:tblGrid>
      <w:tr>
        <w:trPr>
          <w:trHeight w:val="311" w:hRule="atLeast"/>
        </w:trPr>
        <w:tc>
          <w:tcPr>
            <w:tcW w:w="4673" w:type="dxa"/>
            <w:shd w:val="clear" w:color="auto" w:fill="006FC0"/>
          </w:tcPr>
          <w:p>
            <w:pPr>
              <w:pStyle w:val="TableParagraph"/>
              <w:spacing w:line="289" w:lineRule="exact" w:before="2"/>
              <w:ind w:left="107"/>
              <w:rPr>
                <w:rFonts w:ascii="Arial Black"/>
                <w:sz w:val="22"/>
              </w:rPr>
            </w:pPr>
            <w:r>
              <w:rPr>
                <w:rFonts w:ascii="Arial Black"/>
                <w:color w:val="F1F1F1"/>
                <w:sz w:val="22"/>
              </w:rPr>
              <w:t>Debilidades</w:t>
            </w:r>
          </w:p>
        </w:tc>
        <w:tc>
          <w:tcPr>
            <w:tcW w:w="5247" w:type="dxa"/>
            <w:shd w:val="clear" w:color="auto" w:fill="006FC0"/>
          </w:tcPr>
          <w:p>
            <w:pPr>
              <w:pStyle w:val="TableParagraph"/>
              <w:spacing w:line="289" w:lineRule="exact" w:before="2"/>
              <w:ind w:left="108"/>
              <w:rPr>
                <w:rFonts w:ascii="Arial Black"/>
                <w:sz w:val="22"/>
              </w:rPr>
            </w:pPr>
            <w:r>
              <w:rPr>
                <w:rFonts w:ascii="Arial Black"/>
                <w:color w:val="F1F1F1"/>
                <w:sz w:val="22"/>
              </w:rPr>
              <w:t>Amenazas</w:t>
            </w:r>
          </w:p>
        </w:tc>
      </w:tr>
      <w:tr>
        <w:trPr>
          <w:trHeight w:val="6593" w:hRule="atLeast"/>
        </w:trPr>
        <w:tc>
          <w:tcPr>
            <w:tcW w:w="4673" w:type="dxa"/>
          </w:tcPr>
          <w:p>
            <w:pPr>
              <w:pStyle w:val="TableParagraph"/>
              <w:numPr>
                <w:ilvl w:val="0"/>
                <w:numId w:val="37"/>
              </w:numPr>
              <w:tabs>
                <w:tab w:pos="827" w:val="left" w:leader="none"/>
                <w:tab w:pos="828" w:val="left" w:leader="none"/>
              </w:tabs>
              <w:spacing w:line="240" w:lineRule="auto" w:before="0" w:after="0"/>
              <w:ind w:left="827" w:right="430" w:hanging="360"/>
              <w:jc w:val="left"/>
              <w:rPr>
                <w:sz w:val="20"/>
              </w:rPr>
            </w:pPr>
            <w:r>
              <w:rPr>
                <w:sz w:val="20"/>
              </w:rPr>
              <w:t>Falta de difusión de la existencia de la UNIBOL a personas de bajos recursos y</w:t>
            </w:r>
            <w:r>
              <w:rPr>
                <w:spacing w:val="-15"/>
                <w:sz w:val="20"/>
              </w:rPr>
              <w:t> </w:t>
            </w:r>
            <w:r>
              <w:rPr>
                <w:sz w:val="20"/>
              </w:rPr>
              <w:t>en comunidades</w:t>
            </w:r>
            <w:r>
              <w:rPr>
                <w:spacing w:val="-3"/>
                <w:sz w:val="20"/>
              </w:rPr>
              <w:t> </w:t>
            </w:r>
            <w:r>
              <w:rPr>
                <w:sz w:val="20"/>
              </w:rPr>
              <w:t>alejadas.</w:t>
            </w:r>
          </w:p>
          <w:p>
            <w:pPr>
              <w:pStyle w:val="TableParagraph"/>
              <w:numPr>
                <w:ilvl w:val="0"/>
                <w:numId w:val="37"/>
              </w:numPr>
              <w:tabs>
                <w:tab w:pos="827" w:val="left" w:leader="none"/>
                <w:tab w:pos="828" w:val="left" w:leader="none"/>
              </w:tabs>
              <w:spacing w:line="240" w:lineRule="auto" w:before="0" w:after="0"/>
              <w:ind w:left="827" w:right="352" w:hanging="360"/>
              <w:jc w:val="left"/>
              <w:rPr>
                <w:sz w:val="20"/>
              </w:rPr>
            </w:pPr>
            <w:r>
              <w:rPr>
                <w:sz w:val="20"/>
              </w:rPr>
              <w:t>Falta de continuidad de docentes, autoridades, personal administrativos</w:t>
            </w:r>
            <w:r>
              <w:rPr>
                <w:spacing w:val="-13"/>
                <w:sz w:val="20"/>
              </w:rPr>
              <w:t> </w:t>
            </w:r>
            <w:r>
              <w:rPr>
                <w:sz w:val="20"/>
              </w:rPr>
              <w:t>para una buena gestión académica y administrativa.</w:t>
            </w:r>
          </w:p>
          <w:p>
            <w:pPr>
              <w:pStyle w:val="TableParagraph"/>
              <w:numPr>
                <w:ilvl w:val="0"/>
                <w:numId w:val="37"/>
              </w:numPr>
              <w:tabs>
                <w:tab w:pos="827" w:val="left" w:leader="none"/>
                <w:tab w:pos="828" w:val="left" w:leader="none"/>
              </w:tabs>
              <w:spacing w:line="240" w:lineRule="auto" w:before="0" w:after="0"/>
              <w:ind w:left="827" w:right="202" w:hanging="360"/>
              <w:jc w:val="left"/>
              <w:rPr>
                <w:sz w:val="20"/>
              </w:rPr>
            </w:pPr>
            <w:r>
              <w:rPr>
                <w:sz w:val="20"/>
              </w:rPr>
              <w:t>Escases de docentes provenientes de</w:t>
            </w:r>
            <w:r>
              <w:rPr>
                <w:spacing w:val="-17"/>
                <w:sz w:val="20"/>
              </w:rPr>
              <w:t> </w:t>
            </w:r>
            <w:r>
              <w:rPr>
                <w:sz w:val="20"/>
              </w:rPr>
              <w:t>cultura quechua.</w:t>
            </w:r>
          </w:p>
          <w:p>
            <w:pPr>
              <w:pStyle w:val="TableParagraph"/>
              <w:numPr>
                <w:ilvl w:val="0"/>
                <w:numId w:val="37"/>
              </w:numPr>
              <w:tabs>
                <w:tab w:pos="827" w:val="left" w:leader="none"/>
                <w:tab w:pos="828" w:val="left" w:leader="none"/>
              </w:tabs>
              <w:spacing w:line="240" w:lineRule="auto" w:before="0" w:after="0"/>
              <w:ind w:left="827" w:right="144" w:hanging="360"/>
              <w:jc w:val="left"/>
              <w:rPr>
                <w:sz w:val="20"/>
              </w:rPr>
            </w:pPr>
            <w:r>
              <w:rPr>
                <w:sz w:val="20"/>
              </w:rPr>
              <w:t>Falta de coordinación estrecha con las organizaciones sociales y entidades</w:t>
            </w:r>
            <w:r>
              <w:rPr>
                <w:spacing w:val="-16"/>
                <w:sz w:val="20"/>
              </w:rPr>
              <w:t> </w:t>
            </w:r>
            <w:r>
              <w:rPr>
                <w:sz w:val="20"/>
              </w:rPr>
              <w:t>estatales.</w:t>
            </w:r>
          </w:p>
          <w:p>
            <w:pPr>
              <w:pStyle w:val="TableParagraph"/>
              <w:numPr>
                <w:ilvl w:val="0"/>
                <w:numId w:val="37"/>
              </w:numPr>
              <w:tabs>
                <w:tab w:pos="827" w:val="left" w:leader="none"/>
                <w:tab w:pos="828" w:val="left" w:leader="none"/>
              </w:tabs>
              <w:spacing w:line="244" w:lineRule="exact" w:before="0" w:after="0"/>
              <w:ind w:left="827" w:right="0" w:hanging="361"/>
              <w:jc w:val="left"/>
              <w:rPr>
                <w:sz w:val="20"/>
              </w:rPr>
            </w:pPr>
            <w:r>
              <w:rPr>
                <w:sz w:val="20"/>
              </w:rPr>
              <w:t>Falta de alianzas</w:t>
            </w:r>
            <w:r>
              <w:rPr>
                <w:spacing w:val="-4"/>
                <w:sz w:val="20"/>
              </w:rPr>
              <w:t> </w:t>
            </w:r>
            <w:r>
              <w:rPr>
                <w:sz w:val="20"/>
              </w:rPr>
              <w:t>estrategias</w:t>
            </w:r>
          </w:p>
          <w:p>
            <w:pPr>
              <w:pStyle w:val="TableParagraph"/>
              <w:numPr>
                <w:ilvl w:val="0"/>
                <w:numId w:val="37"/>
              </w:numPr>
              <w:tabs>
                <w:tab w:pos="827" w:val="left" w:leader="none"/>
                <w:tab w:pos="828" w:val="left" w:leader="none"/>
              </w:tabs>
              <w:spacing w:line="240" w:lineRule="auto" w:before="0" w:after="0"/>
              <w:ind w:left="827" w:right="496" w:hanging="360"/>
              <w:jc w:val="left"/>
              <w:rPr>
                <w:sz w:val="20"/>
              </w:rPr>
            </w:pPr>
            <w:r>
              <w:rPr>
                <w:sz w:val="20"/>
              </w:rPr>
              <w:t>Poca articulación a políticas y</w:t>
            </w:r>
            <w:r>
              <w:rPr>
                <w:spacing w:val="-12"/>
                <w:sz w:val="20"/>
              </w:rPr>
              <w:t> </w:t>
            </w:r>
            <w:r>
              <w:rPr>
                <w:sz w:val="20"/>
              </w:rPr>
              <w:t>normativas productivas (PND – Agenda</w:t>
            </w:r>
            <w:r>
              <w:rPr>
                <w:spacing w:val="-5"/>
                <w:sz w:val="20"/>
              </w:rPr>
              <w:t> </w:t>
            </w:r>
            <w:r>
              <w:rPr>
                <w:sz w:val="20"/>
              </w:rPr>
              <w:t>2020-25).</w:t>
            </w:r>
          </w:p>
          <w:p>
            <w:pPr>
              <w:pStyle w:val="TableParagraph"/>
              <w:numPr>
                <w:ilvl w:val="0"/>
                <w:numId w:val="37"/>
              </w:numPr>
              <w:tabs>
                <w:tab w:pos="827" w:val="left" w:leader="none"/>
                <w:tab w:pos="828" w:val="left" w:leader="none"/>
              </w:tabs>
              <w:spacing w:line="240" w:lineRule="auto" w:before="0" w:after="0"/>
              <w:ind w:left="827" w:right="352" w:hanging="360"/>
              <w:jc w:val="left"/>
              <w:rPr>
                <w:sz w:val="20"/>
              </w:rPr>
            </w:pPr>
            <w:r>
              <w:rPr>
                <w:sz w:val="20"/>
              </w:rPr>
              <w:t>Graduados con poca inserción en el</w:t>
            </w:r>
            <w:r>
              <w:rPr>
                <w:spacing w:val="-15"/>
                <w:sz w:val="20"/>
              </w:rPr>
              <w:t> </w:t>
            </w:r>
            <w:r>
              <w:rPr>
                <w:sz w:val="20"/>
              </w:rPr>
              <w:t>campo laboral a nivel</w:t>
            </w:r>
            <w:r>
              <w:rPr>
                <w:spacing w:val="-1"/>
                <w:sz w:val="20"/>
              </w:rPr>
              <w:t> </w:t>
            </w:r>
            <w:r>
              <w:rPr>
                <w:sz w:val="20"/>
              </w:rPr>
              <w:t>nacional.</w:t>
            </w:r>
          </w:p>
          <w:p>
            <w:pPr>
              <w:pStyle w:val="TableParagraph"/>
              <w:numPr>
                <w:ilvl w:val="0"/>
                <w:numId w:val="37"/>
              </w:numPr>
              <w:tabs>
                <w:tab w:pos="827" w:val="left" w:leader="none"/>
                <w:tab w:pos="828" w:val="left" w:leader="none"/>
              </w:tabs>
              <w:spacing w:line="240" w:lineRule="auto" w:before="1" w:after="0"/>
              <w:ind w:left="827" w:right="296" w:hanging="360"/>
              <w:jc w:val="left"/>
              <w:rPr>
                <w:sz w:val="20"/>
              </w:rPr>
            </w:pPr>
            <w:r>
              <w:rPr>
                <w:sz w:val="20"/>
              </w:rPr>
              <w:t>Deficiencia en la asignación de</w:t>
            </w:r>
            <w:r>
              <w:rPr>
                <w:spacing w:val="-18"/>
                <w:sz w:val="20"/>
              </w:rPr>
              <w:t> </w:t>
            </w:r>
            <w:r>
              <w:rPr>
                <w:sz w:val="20"/>
              </w:rPr>
              <w:t>presupuesto financiero para el</w:t>
            </w:r>
            <w:r>
              <w:rPr>
                <w:spacing w:val="-2"/>
                <w:sz w:val="20"/>
              </w:rPr>
              <w:t> </w:t>
            </w:r>
            <w:r>
              <w:rPr>
                <w:sz w:val="20"/>
              </w:rPr>
              <w:t>funcionamiento.</w:t>
            </w:r>
          </w:p>
          <w:p>
            <w:pPr>
              <w:pStyle w:val="TableParagraph"/>
              <w:numPr>
                <w:ilvl w:val="0"/>
                <w:numId w:val="37"/>
              </w:numPr>
              <w:tabs>
                <w:tab w:pos="827" w:val="left" w:leader="none"/>
                <w:tab w:pos="828" w:val="left" w:leader="none"/>
              </w:tabs>
              <w:spacing w:line="240" w:lineRule="auto" w:before="0" w:after="0"/>
              <w:ind w:left="827" w:right="353" w:hanging="360"/>
              <w:jc w:val="left"/>
              <w:rPr>
                <w:sz w:val="20"/>
              </w:rPr>
            </w:pPr>
            <w:r>
              <w:rPr>
                <w:sz w:val="20"/>
              </w:rPr>
              <w:t>Oferta de carreras insuficiente acorde a</w:t>
            </w:r>
            <w:r>
              <w:rPr>
                <w:spacing w:val="-18"/>
                <w:sz w:val="20"/>
              </w:rPr>
              <w:t> </w:t>
            </w:r>
            <w:r>
              <w:rPr>
                <w:sz w:val="20"/>
              </w:rPr>
              <w:t>las exigencias de las comunidades y nuevos bachilleres.</w:t>
            </w:r>
          </w:p>
          <w:p>
            <w:pPr>
              <w:pStyle w:val="TableParagraph"/>
              <w:numPr>
                <w:ilvl w:val="0"/>
                <w:numId w:val="37"/>
              </w:numPr>
              <w:tabs>
                <w:tab w:pos="828" w:val="left" w:leader="none"/>
              </w:tabs>
              <w:spacing w:line="240" w:lineRule="auto" w:before="0" w:after="0"/>
              <w:ind w:left="827" w:right="309" w:hanging="360"/>
              <w:jc w:val="left"/>
              <w:rPr>
                <w:sz w:val="20"/>
              </w:rPr>
            </w:pPr>
            <w:r>
              <w:rPr>
                <w:sz w:val="20"/>
              </w:rPr>
              <w:t>Limitada aplicación de los principios productivos y fundamentos filosóficos de</w:t>
            </w:r>
            <w:r>
              <w:rPr>
                <w:spacing w:val="-19"/>
                <w:sz w:val="20"/>
              </w:rPr>
              <w:t> </w:t>
            </w:r>
            <w:r>
              <w:rPr>
                <w:sz w:val="20"/>
              </w:rPr>
              <w:t>la UNIBOL.</w:t>
            </w:r>
          </w:p>
          <w:p>
            <w:pPr>
              <w:pStyle w:val="TableParagraph"/>
              <w:numPr>
                <w:ilvl w:val="0"/>
                <w:numId w:val="37"/>
              </w:numPr>
              <w:tabs>
                <w:tab w:pos="828" w:val="left" w:leader="none"/>
              </w:tabs>
              <w:spacing w:line="240" w:lineRule="auto" w:before="0" w:after="0"/>
              <w:ind w:left="827" w:right="202" w:hanging="360"/>
              <w:jc w:val="left"/>
              <w:rPr>
                <w:sz w:val="20"/>
              </w:rPr>
            </w:pPr>
            <w:r>
              <w:rPr>
                <w:sz w:val="20"/>
              </w:rPr>
              <w:t>Docentes con formación limitada en</w:t>
            </w:r>
            <w:r>
              <w:rPr>
                <w:spacing w:val="-20"/>
                <w:sz w:val="20"/>
              </w:rPr>
              <w:t> </w:t>
            </w:r>
            <w:r>
              <w:rPr>
                <w:sz w:val="20"/>
              </w:rPr>
              <w:t>relación a la visión y misión de las</w:t>
            </w:r>
            <w:r>
              <w:rPr>
                <w:spacing w:val="-4"/>
                <w:sz w:val="20"/>
              </w:rPr>
              <w:t> </w:t>
            </w:r>
            <w:r>
              <w:rPr>
                <w:sz w:val="20"/>
              </w:rPr>
              <w:t>UNIBOL.</w:t>
            </w:r>
          </w:p>
          <w:p>
            <w:pPr>
              <w:pStyle w:val="TableParagraph"/>
              <w:numPr>
                <w:ilvl w:val="0"/>
                <w:numId w:val="37"/>
              </w:numPr>
              <w:tabs>
                <w:tab w:pos="828" w:val="left" w:leader="none"/>
              </w:tabs>
              <w:spacing w:line="225" w:lineRule="exact" w:before="0" w:after="0"/>
              <w:ind w:left="827" w:right="0" w:hanging="361"/>
              <w:jc w:val="left"/>
              <w:rPr>
                <w:sz w:val="20"/>
              </w:rPr>
            </w:pPr>
            <w:r>
              <w:rPr>
                <w:sz w:val="20"/>
              </w:rPr>
              <w:t>Poca estabilidad institucional de las</w:t>
            </w:r>
            <w:r>
              <w:rPr>
                <w:spacing w:val="-15"/>
                <w:sz w:val="20"/>
              </w:rPr>
              <w:t> </w:t>
            </w:r>
            <w:r>
              <w:rPr>
                <w:sz w:val="20"/>
              </w:rPr>
              <w:t>UNIBOL.</w:t>
            </w:r>
          </w:p>
        </w:tc>
        <w:tc>
          <w:tcPr>
            <w:tcW w:w="5247" w:type="dxa"/>
          </w:tcPr>
          <w:p>
            <w:pPr>
              <w:pStyle w:val="TableParagraph"/>
              <w:numPr>
                <w:ilvl w:val="0"/>
                <w:numId w:val="38"/>
              </w:numPr>
              <w:tabs>
                <w:tab w:pos="828" w:val="left" w:leader="none"/>
                <w:tab w:pos="829" w:val="left" w:leader="none"/>
              </w:tabs>
              <w:spacing w:line="240" w:lineRule="auto" w:before="0" w:after="0"/>
              <w:ind w:left="828" w:right="632" w:hanging="360"/>
              <w:jc w:val="left"/>
              <w:rPr>
                <w:sz w:val="20"/>
              </w:rPr>
            </w:pPr>
            <w:r>
              <w:rPr>
                <w:sz w:val="20"/>
              </w:rPr>
              <w:t>Congelamiento de presupuesto para el</w:t>
            </w:r>
            <w:r>
              <w:rPr>
                <w:spacing w:val="-17"/>
                <w:sz w:val="20"/>
              </w:rPr>
              <w:t> </w:t>
            </w:r>
            <w:r>
              <w:rPr>
                <w:sz w:val="20"/>
              </w:rPr>
              <w:t>normal desenvolvimiento de las</w:t>
            </w:r>
            <w:r>
              <w:rPr>
                <w:spacing w:val="-5"/>
                <w:sz w:val="20"/>
              </w:rPr>
              <w:t> </w:t>
            </w:r>
            <w:r>
              <w:rPr>
                <w:sz w:val="20"/>
              </w:rPr>
              <w:t>actividades</w:t>
            </w:r>
          </w:p>
          <w:p>
            <w:pPr>
              <w:pStyle w:val="TableParagraph"/>
              <w:numPr>
                <w:ilvl w:val="0"/>
                <w:numId w:val="38"/>
              </w:numPr>
              <w:tabs>
                <w:tab w:pos="828" w:val="left" w:leader="none"/>
                <w:tab w:pos="829" w:val="left" w:leader="none"/>
              </w:tabs>
              <w:spacing w:line="240" w:lineRule="auto" w:before="0" w:after="0"/>
              <w:ind w:left="828" w:right="199" w:hanging="360"/>
              <w:jc w:val="left"/>
              <w:rPr>
                <w:sz w:val="20"/>
              </w:rPr>
            </w:pPr>
            <w:r>
              <w:rPr>
                <w:sz w:val="20"/>
              </w:rPr>
              <w:t>Falta de conocimiento de la sociedad a la</w:t>
            </w:r>
            <w:r>
              <w:rPr>
                <w:spacing w:val="-22"/>
                <w:sz w:val="20"/>
              </w:rPr>
              <w:t> </w:t>
            </w:r>
            <w:r>
              <w:rPr>
                <w:sz w:val="20"/>
              </w:rPr>
              <w:t>propuesta curricular de la</w:t>
            </w:r>
            <w:r>
              <w:rPr>
                <w:spacing w:val="-2"/>
                <w:sz w:val="20"/>
              </w:rPr>
              <w:t> </w:t>
            </w:r>
            <w:r>
              <w:rPr>
                <w:sz w:val="20"/>
              </w:rPr>
              <w:t>UNIBOL</w:t>
            </w:r>
          </w:p>
          <w:p>
            <w:pPr>
              <w:pStyle w:val="TableParagraph"/>
              <w:numPr>
                <w:ilvl w:val="0"/>
                <w:numId w:val="38"/>
              </w:numPr>
              <w:tabs>
                <w:tab w:pos="828" w:val="left" w:leader="none"/>
                <w:tab w:pos="829" w:val="left" w:leader="none"/>
              </w:tabs>
              <w:spacing w:line="240" w:lineRule="auto" w:before="0" w:after="0"/>
              <w:ind w:left="828" w:right="328" w:hanging="360"/>
              <w:jc w:val="left"/>
              <w:rPr>
                <w:sz w:val="20"/>
              </w:rPr>
            </w:pPr>
            <w:r>
              <w:rPr>
                <w:sz w:val="20"/>
              </w:rPr>
              <w:t>Alta dependencia de recursos del IDH para</w:t>
            </w:r>
            <w:r>
              <w:rPr>
                <w:spacing w:val="-19"/>
                <w:sz w:val="20"/>
              </w:rPr>
              <w:t> </w:t>
            </w:r>
            <w:r>
              <w:rPr>
                <w:sz w:val="20"/>
              </w:rPr>
              <w:t>normal funcionamiento de las</w:t>
            </w:r>
            <w:r>
              <w:rPr>
                <w:spacing w:val="-1"/>
                <w:sz w:val="20"/>
              </w:rPr>
              <w:t> </w:t>
            </w:r>
            <w:r>
              <w:rPr>
                <w:sz w:val="20"/>
              </w:rPr>
              <w:t>UNIBOL.</w:t>
            </w:r>
          </w:p>
          <w:p>
            <w:pPr>
              <w:pStyle w:val="TableParagraph"/>
              <w:numPr>
                <w:ilvl w:val="0"/>
                <w:numId w:val="38"/>
              </w:numPr>
              <w:tabs>
                <w:tab w:pos="828" w:val="left" w:leader="none"/>
                <w:tab w:pos="829" w:val="left" w:leader="none"/>
              </w:tabs>
              <w:spacing w:line="240" w:lineRule="auto" w:before="0" w:after="0"/>
              <w:ind w:left="828" w:right="624" w:hanging="360"/>
              <w:jc w:val="left"/>
              <w:rPr>
                <w:sz w:val="20"/>
              </w:rPr>
            </w:pPr>
            <w:r>
              <w:rPr>
                <w:sz w:val="20"/>
              </w:rPr>
              <w:t>Permanente competencia de las</w:t>
            </w:r>
            <w:r>
              <w:rPr>
                <w:spacing w:val="-16"/>
                <w:sz w:val="20"/>
              </w:rPr>
              <w:t> </w:t>
            </w:r>
            <w:r>
              <w:rPr>
                <w:sz w:val="20"/>
              </w:rPr>
              <w:t>universidades estatales y</w:t>
            </w:r>
            <w:r>
              <w:rPr>
                <w:spacing w:val="-2"/>
                <w:sz w:val="20"/>
              </w:rPr>
              <w:t> </w:t>
            </w:r>
            <w:r>
              <w:rPr>
                <w:sz w:val="20"/>
              </w:rPr>
              <w:t>privadas.</w:t>
            </w:r>
          </w:p>
          <w:p>
            <w:pPr>
              <w:pStyle w:val="TableParagraph"/>
              <w:numPr>
                <w:ilvl w:val="0"/>
                <w:numId w:val="38"/>
              </w:numPr>
              <w:tabs>
                <w:tab w:pos="828" w:val="left" w:leader="none"/>
                <w:tab w:pos="829" w:val="left" w:leader="none"/>
              </w:tabs>
              <w:spacing w:line="240" w:lineRule="auto" w:before="0" w:after="0"/>
              <w:ind w:left="828" w:right="371" w:hanging="360"/>
              <w:jc w:val="left"/>
              <w:rPr>
                <w:sz w:val="20"/>
              </w:rPr>
            </w:pPr>
            <w:r>
              <w:rPr>
                <w:sz w:val="20"/>
              </w:rPr>
              <w:t>Nivel de formación secundaria muy variable y</w:t>
            </w:r>
            <w:r>
              <w:rPr>
                <w:spacing w:val="-17"/>
                <w:sz w:val="20"/>
              </w:rPr>
              <w:t> </w:t>
            </w:r>
            <w:r>
              <w:rPr>
                <w:sz w:val="20"/>
              </w:rPr>
              <w:t>con muchas deficiencias en áreas</w:t>
            </w:r>
            <w:r>
              <w:rPr>
                <w:spacing w:val="-4"/>
                <w:sz w:val="20"/>
              </w:rPr>
              <w:t> </w:t>
            </w:r>
            <w:r>
              <w:rPr>
                <w:sz w:val="20"/>
              </w:rPr>
              <w:t>exactas.</w:t>
            </w:r>
          </w:p>
          <w:p>
            <w:pPr>
              <w:pStyle w:val="TableParagraph"/>
              <w:numPr>
                <w:ilvl w:val="0"/>
                <w:numId w:val="38"/>
              </w:numPr>
              <w:tabs>
                <w:tab w:pos="828" w:val="left" w:leader="none"/>
                <w:tab w:pos="829" w:val="left" w:leader="none"/>
              </w:tabs>
              <w:spacing w:line="240" w:lineRule="auto" w:before="0" w:after="0"/>
              <w:ind w:left="828" w:right="543" w:hanging="360"/>
              <w:jc w:val="left"/>
              <w:rPr>
                <w:sz w:val="20"/>
              </w:rPr>
            </w:pPr>
            <w:r>
              <w:rPr>
                <w:sz w:val="20"/>
              </w:rPr>
              <w:t>Pérdida de credibilidad institucional y acreditaciones de otras instancias de</w:t>
            </w:r>
            <w:r>
              <w:rPr>
                <w:spacing w:val="-17"/>
                <w:sz w:val="20"/>
              </w:rPr>
              <w:t> </w:t>
            </w:r>
            <w:r>
              <w:rPr>
                <w:sz w:val="20"/>
              </w:rPr>
              <w:t>formación superior</w:t>
            </w:r>
            <w:r>
              <w:rPr>
                <w:spacing w:val="-1"/>
                <w:sz w:val="20"/>
              </w:rPr>
              <w:t> </w:t>
            </w:r>
            <w:r>
              <w:rPr>
                <w:sz w:val="20"/>
              </w:rPr>
              <w:t>(CUB)</w:t>
            </w:r>
          </w:p>
          <w:p>
            <w:pPr>
              <w:pStyle w:val="TableParagraph"/>
              <w:numPr>
                <w:ilvl w:val="0"/>
                <w:numId w:val="38"/>
              </w:numPr>
              <w:tabs>
                <w:tab w:pos="828" w:val="left" w:leader="none"/>
                <w:tab w:pos="829" w:val="left" w:leader="none"/>
              </w:tabs>
              <w:spacing w:line="240" w:lineRule="auto" w:before="0" w:after="0"/>
              <w:ind w:left="828" w:right="678" w:hanging="360"/>
              <w:jc w:val="left"/>
              <w:rPr>
                <w:sz w:val="20"/>
              </w:rPr>
            </w:pPr>
            <w:r>
              <w:rPr>
                <w:sz w:val="20"/>
              </w:rPr>
              <w:t>Distanciamiento con organizaciones sociales</w:t>
            </w:r>
            <w:r>
              <w:rPr>
                <w:spacing w:val="-18"/>
                <w:sz w:val="20"/>
              </w:rPr>
              <w:t> </w:t>
            </w:r>
            <w:r>
              <w:rPr>
                <w:sz w:val="20"/>
              </w:rPr>
              <w:t>y comunidades.</w:t>
            </w:r>
          </w:p>
          <w:p>
            <w:pPr>
              <w:pStyle w:val="TableParagraph"/>
              <w:numPr>
                <w:ilvl w:val="0"/>
                <w:numId w:val="38"/>
              </w:numPr>
              <w:tabs>
                <w:tab w:pos="828" w:val="left" w:leader="none"/>
                <w:tab w:pos="829" w:val="left" w:leader="none"/>
              </w:tabs>
              <w:spacing w:line="240" w:lineRule="auto" w:before="0" w:after="0"/>
              <w:ind w:left="828" w:right="1090" w:hanging="360"/>
              <w:jc w:val="left"/>
              <w:rPr>
                <w:sz w:val="20"/>
              </w:rPr>
            </w:pPr>
            <w:r>
              <w:rPr>
                <w:sz w:val="20"/>
              </w:rPr>
              <w:t>Sociedad con prejuicios sociales hacia</w:t>
            </w:r>
            <w:r>
              <w:rPr>
                <w:spacing w:val="-18"/>
                <w:sz w:val="20"/>
              </w:rPr>
              <w:t> </w:t>
            </w:r>
            <w:r>
              <w:rPr>
                <w:sz w:val="20"/>
              </w:rPr>
              <w:t>las universidades indígenas y</w:t>
            </w:r>
            <w:r>
              <w:rPr>
                <w:spacing w:val="-7"/>
                <w:sz w:val="20"/>
              </w:rPr>
              <w:t> </w:t>
            </w:r>
            <w:r>
              <w:rPr>
                <w:sz w:val="20"/>
              </w:rPr>
              <w:t>especiales.</w:t>
            </w:r>
          </w:p>
          <w:p>
            <w:pPr>
              <w:pStyle w:val="TableParagraph"/>
              <w:numPr>
                <w:ilvl w:val="0"/>
                <w:numId w:val="38"/>
              </w:numPr>
              <w:tabs>
                <w:tab w:pos="828" w:val="left" w:leader="none"/>
                <w:tab w:pos="829" w:val="left" w:leader="none"/>
              </w:tabs>
              <w:spacing w:line="240" w:lineRule="auto" w:before="0" w:after="0"/>
              <w:ind w:left="828" w:right="464" w:hanging="360"/>
              <w:jc w:val="left"/>
              <w:rPr>
                <w:sz w:val="20"/>
              </w:rPr>
            </w:pPr>
            <w:r>
              <w:rPr>
                <w:sz w:val="20"/>
              </w:rPr>
              <w:t>Falta de presupuesto financiero para el cumplimiento de metas establecidas en el PND</w:t>
            </w:r>
            <w:r>
              <w:rPr>
                <w:spacing w:val="-17"/>
                <w:sz w:val="20"/>
              </w:rPr>
              <w:t> </w:t>
            </w:r>
            <w:r>
              <w:rPr>
                <w:sz w:val="20"/>
              </w:rPr>
              <w:t>y Agenda</w:t>
            </w:r>
            <w:r>
              <w:rPr>
                <w:spacing w:val="-1"/>
                <w:sz w:val="20"/>
              </w:rPr>
              <w:t> </w:t>
            </w:r>
            <w:r>
              <w:rPr>
                <w:sz w:val="20"/>
              </w:rPr>
              <w:t>2020-25</w:t>
            </w:r>
          </w:p>
        </w:tc>
      </w:tr>
    </w:tbl>
    <w:p>
      <w:pPr>
        <w:pStyle w:val="BodyText"/>
        <w:rPr>
          <w:rFonts w:ascii="Cambria"/>
          <w:b/>
          <w:sz w:val="20"/>
        </w:rPr>
      </w:pPr>
    </w:p>
    <w:p>
      <w:pPr>
        <w:pStyle w:val="BodyText"/>
        <w:spacing w:before="10"/>
        <w:rPr>
          <w:rFonts w:ascii="Cambria"/>
          <w:b/>
          <w:sz w:val="17"/>
        </w:rPr>
      </w:pPr>
    </w:p>
    <w:p>
      <w:pPr>
        <w:pStyle w:val="ListParagraph"/>
        <w:numPr>
          <w:ilvl w:val="1"/>
          <w:numId w:val="11"/>
        </w:numPr>
        <w:tabs>
          <w:tab w:pos="2085" w:val="left" w:leader="none"/>
          <w:tab w:pos="2086" w:val="left" w:leader="none"/>
        </w:tabs>
        <w:spacing w:line="240" w:lineRule="auto" w:before="101" w:after="0"/>
        <w:ind w:left="2085" w:right="0" w:hanging="721"/>
        <w:jc w:val="left"/>
        <w:rPr>
          <w:rFonts w:ascii="Cambria"/>
          <w:b/>
          <w:sz w:val="28"/>
        </w:rPr>
      </w:pPr>
      <w:r>
        <w:rPr>
          <w:rFonts w:ascii="Cambria"/>
          <w:b/>
          <w:sz w:val="28"/>
        </w:rPr>
        <w:t>A NIVEL MACRO</w:t>
      </w:r>
      <w:r>
        <w:rPr>
          <w:rFonts w:ascii="Cambria"/>
          <w:b/>
          <w:spacing w:val="-3"/>
          <w:sz w:val="28"/>
        </w:rPr>
        <w:t> </w:t>
      </w:r>
      <w:r>
        <w:rPr>
          <w:rFonts w:ascii="Cambria"/>
          <w:b/>
          <w:sz w:val="28"/>
        </w:rPr>
        <w:t>REGIONAL</w:t>
      </w:r>
    </w:p>
    <w:p>
      <w:pPr>
        <w:pStyle w:val="BodyText"/>
        <w:spacing w:before="7" w:after="1"/>
        <w:rPr>
          <w:rFonts w:ascii="Cambria"/>
          <w:b/>
          <w:sz w:val="9"/>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09"/>
        <w:gridCol w:w="4112"/>
      </w:tblGrid>
      <w:tr>
        <w:trPr>
          <w:trHeight w:val="309" w:hRule="atLeast"/>
        </w:trPr>
        <w:tc>
          <w:tcPr>
            <w:tcW w:w="5809" w:type="dxa"/>
            <w:shd w:val="clear" w:color="auto" w:fill="006FC0"/>
          </w:tcPr>
          <w:p>
            <w:pPr>
              <w:pStyle w:val="TableParagraph"/>
              <w:spacing w:line="289" w:lineRule="exact"/>
              <w:ind w:left="107"/>
              <w:rPr>
                <w:rFonts w:ascii="Arial Black"/>
                <w:sz w:val="22"/>
              </w:rPr>
            </w:pPr>
            <w:r>
              <w:rPr>
                <w:rFonts w:ascii="Arial Black"/>
                <w:color w:val="F1F1F1"/>
                <w:sz w:val="22"/>
              </w:rPr>
              <w:t>Fortalezas</w:t>
            </w:r>
          </w:p>
        </w:tc>
        <w:tc>
          <w:tcPr>
            <w:tcW w:w="4112" w:type="dxa"/>
            <w:shd w:val="clear" w:color="auto" w:fill="006FC0"/>
          </w:tcPr>
          <w:p>
            <w:pPr>
              <w:pStyle w:val="TableParagraph"/>
              <w:spacing w:line="289" w:lineRule="exact"/>
              <w:ind w:left="105"/>
              <w:rPr>
                <w:rFonts w:ascii="Arial Black"/>
                <w:sz w:val="22"/>
              </w:rPr>
            </w:pPr>
            <w:r>
              <w:rPr>
                <w:rFonts w:ascii="Arial Black"/>
                <w:color w:val="F1F1F1"/>
                <w:sz w:val="22"/>
              </w:rPr>
              <w:t>Oportunidades</w:t>
            </w:r>
          </w:p>
        </w:tc>
      </w:tr>
      <w:tr>
        <w:trPr>
          <w:trHeight w:val="2930" w:hRule="atLeast"/>
        </w:trPr>
        <w:tc>
          <w:tcPr>
            <w:tcW w:w="5809" w:type="dxa"/>
          </w:tcPr>
          <w:p>
            <w:pPr>
              <w:pStyle w:val="TableParagraph"/>
              <w:numPr>
                <w:ilvl w:val="0"/>
                <w:numId w:val="39"/>
              </w:numPr>
              <w:tabs>
                <w:tab w:pos="827" w:val="left" w:leader="none"/>
                <w:tab w:pos="828" w:val="left" w:leader="none"/>
              </w:tabs>
              <w:spacing w:line="240" w:lineRule="auto" w:before="0" w:after="0"/>
              <w:ind w:left="827" w:right="726" w:hanging="360"/>
              <w:jc w:val="left"/>
              <w:rPr>
                <w:sz w:val="20"/>
              </w:rPr>
            </w:pPr>
            <w:r>
              <w:rPr>
                <w:sz w:val="20"/>
              </w:rPr>
              <w:t>Profesionales con formación integral, comunitario y productivo</w:t>
            </w:r>
          </w:p>
          <w:p>
            <w:pPr>
              <w:pStyle w:val="TableParagraph"/>
              <w:numPr>
                <w:ilvl w:val="0"/>
                <w:numId w:val="39"/>
              </w:numPr>
              <w:tabs>
                <w:tab w:pos="827" w:val="left" w:leader="none"/>
                <w:tab w:pos="828" w:val="left" w:leader="none"/>
              </w:tabs>
              <w:spacing w:line="240" w:lineRule="auto" w:before="0" w:after="0"/>
              <w:ind w:left="827" w:right="909" w:hanging="360"/>
              <w:jc w:val="left"/>
              <w:rPr>
                <w:sz w:val="20"/>
              </w:rPr>
            </w:pPr>
            <w:r>
              <w:rPr>
                <w:sz w:val="20"/>
              </w:rPr>
              <w:t>Porcentaje significativo de la población que se identifica con la nación quechua</w:t>
            </w:r>
          </w:p>
          <w:p>
            <w:pPr>
              <w:pStyle w:val="TableParagraph"/>
              <w:numPr>
                <w:ilvl w:val="0"/>
                <w:numId w:val="39"/>
              </w:numPr>
              <w:tabs>
                <w:tab w:pos="827" w:val="left" w:leader="none"/>
                <w:tab w:pos="828" w:val="left" w:leader="none"/>
              </w:tabs>
              <w:spacing w:line="240" w:lineRule="auto" w:before="0" w:after="0"/>
              <w:ind w:left="827" w:right="508" w:hanging="360"/>
              <w:jc w:val="left"/>
              <w:rPr>
                <w:sz w:val="20"/>
              </w:rPr>
            </w:pPr>
            <w:r>
              <w:rPr>
                <w:sz w:val="20"/>
              </w:rPr>
              <w:t>Predisposición política del gobierno para apoyar a la UNIBOL</w:t>
            </w:r>
            <w:r>
              <w:rPr>
                <w:spacing w:val="45"/>
                <w:sz w:val="20"/>
              </w:rPr>
              <w:t> </w:t>
            </w:r>
            <w:r>
              <w:rPr>
                <w:sz w:val="20"/>
              </w:rPr>
              <w:t>quechua</w:t>
            </w:r>
          </w:p>
          <w:p>
            <w:pPr>
              <w:pStyle w:val="TableParagraph"/>
              <w:numPr>
                <w:ilvl w:val="0"/>
                <w:numId w:val="39"/>
              </w:numPr>
              <w:tabs>
                <w:tab w:pos="827" w:val="left" w:leader="none"/>
                <w:tab w:pos="828" w:val="left" w:leader="none"/>
              </w:tabs>
              <w:spacing w:line="240" w:lineRule="auto" w:before="1" w:after="0"/>
              <w:ind w:left="827" w:right="218" w:hanging="360"/>
              <w:jc w:val="left"/>
              <w:rPr>
                <w:sz w:val="20"/>
              </w:rPr>
            </w:pPr>
            <w:r>
              <w:rPr>
                <w:sz w:val="20"/>
              </w:rPr>
              <w:t>Formación académica con diversidad cultural, generación y transmisión de saberes y conocimientos</w:t>
            </w:r>
            <w:r>
              <w:rPr>
                <w:spacing w:val="31"/>
                <w:sz w:val="20"/>
              </w:rPr>
              <w:t> </w:t>
            </w:r>
            <w:r>
              <w:rPr>
                <w:sz w:val="20"/>
              </w:rPr>
              <w:t>ancestrales</w:t>
            </w:r>
          </w:p>
          <w:p>
            <w:pPr>
              <w:pStyle w:val="TableParagraph"/>
              <w:numPr>
                <w:ilvl w:val="0"/>
                <w:numId w:val="39"/>
              </w:numPr>
              <w:tabs>
                <w:tab w:pos="827" w:val="left" w:leader="none"/>
                <w:tab w:pos="828" w:val="left" w:leader="none"/>
              </w:tabs>
              <w:spacing w:line="243" w:lineRule="exact" w:before="0" w:after="0"/>
              <w:ind w:left="827" w:right="0" w:hanging="361"/>
              <w:jc w:val="left"/>
              <w:rPr>
                <w:sz w:val="20"/>
              </w:rPr>
            </w:pPr>
            <w:r>
              <w:rPr>
                <w:sz w:val="20"/>
              </w:rPr>
              <w:t>Accesos a tecnologías información y</w:t>
            </w:r>
            <w:r>
              <w:rPr>
                <w:spacing w:val="36"/>
                <w:sz w:val="20"/>
              </w:rPr>
              <w:t> </w:t>
            </w:r>
            <w:r>
              <w:rPr>
                <w:sz w:val="20"/>
              </w:rPr>
              <w:t>comunicación</w:t>
            </w:r>
          </w:p>
          <w:p>
            <w:pPr>
              <w:pStyle w:val="TableParagraph"/>
              <w:numPr>
                <w:ilvl w:val="0"/>
                <w:numId w:val="39"/>
              </w:numPr>
              <w:tabs>
                <w:tab w:pos="827" w:val="left" w:leader="none"/>
                <w:tab w:pos="828" w:val="left" w:leader="none"/>
              </w:tabs>
              <w:spacing w:line="240" w:lineRule="auto" w:before="0" w:after="0"/>
              <w:ind w:left="827" w:right="221" w:hanging="360"/>
              <w:jc w:val="left"/>
              <w:rPr>
                <w:sz w:val="20"/>
              </w:rPr>
            </w:pPr>
            <w:r>
              <w:rPr>
                <w:sz w:val="20"/>
              </w:rPr>
              <w:t>Apoyo de organizaciones sociales e instituciones que son parte de la formación</w:t>
            </w:r>
            <w:r>
              <w:rPr>
                <w:spacing w:val="42"/>
                <w:sz w:val="20"/>
              </w:rPr>
              <w:t> </w:t>
            </w:r>
            <w:r>
              <w:rPr>
                <w:sz w:val="20"/>
              </w:rPr>
              <w:t>académica</w:t>
            </w:r>
          </w:p>
          <w:p>
            <w:pPr>
              <w:pStyle w:val="TableParagraph"/>
              <w:numPr>
                <w:ilvl w:val="0"/>
                <w:numId w:val="39"/>
              </w:numPr>
              <w:tabs>
                <w:tab w:pos="827" w:val="left" w:leader="none"/>
                <w:tab w:pos="828" w:val="left" w:leader="none"/>
              </w:tabs>
              <w:spacing w:line="224" w:lineRule="exact" w:before="0" w:after="0"/>
              <w:ind w:left="827" w:right="0" w:hanging="361"/>
              <w:jc w:val="left"/>
              <w:rPr>
                <w:sz w:val="20"/>
              </w:rPr>
            </w:pPr>
            <w:r>
              <w:rPr>
                <w:sz w:val="20"/>
              </w:rPr>
              <w:t>Relación directa con el ministerio de educación</w:t>
            </w:r>
          </w:p>
        </w:tc>
        <w:tc>
          <w:tcPr>
            <w:tcW w:w="4112" w:type="dxa"/>
          </w:tcPr>
          <w:p>
            <w:pPr>
              <w:pStyle w:val="TableParagraph"/>
              <w:numPr>
                <w:ilvl w:val="0"/>
                <w:numId w:val="40"/>
              </w:numPr>
              <w:tabs>
                <w:tab w:pos="462" w:val="left" w:leader="none"/>
                <w:tab w:pos="463" w:val="left" w:leader="none"/>
              </w:tabs>
              <w:spacing w:line="243" w:lineRule="exact" w:before="0" w:after="0"/>
              <w:ind w:left="462" w:right="0" w:hanging="358"/>
              <w:jc w:val="left"/>
              <w:rPr>
                <w:sz w:val="20"/>
              </w:rPr>
            </w:pPr>
            <w:r>
              <w:rPr>
                <w:sz w:val="20"/>
              </w:rPr>
              <w:t>Creación de</w:t>
            </w:r>
            <w:r>
              <w:rPr>
                <w:spacing w:val="-1"/>
                <w:sz w:val="20"/>
              </w:rPr>
              <w:t> </w:t>
            </w:r>
            <w:r>
              <w:rPr>
                <w:sz w:val="20"/>
              </w:rPr>
              <w:t>posgrado</w:t>
            </w:r>
          </w:p>
          <w:p>
            <w:pPr>
              <w:pStyle w:val="TableParagraph"/>
              <w:numPr>
                <w:ilvl w:val="0"/>
                <w:numId w:val="40"/>
              </w:numPr>
              <w:tabs>
                <w:tab w:pos="462" w:val="left" w:leader="none"/>
                <w:tab w:pos="463" w:val="left" w:leader="none"/>
              </w:tabs>
              <w:spacing w:line="240" w:lineRule="auto" w:before="0" w:after="0"/>
              <w:ind w:left="462" w:right="0" w:hanging="358"/>
              <w:jc w:val="left"/>
              <w:rPr>
                <w:sz w:val="20"/>
              </w:rPr>
            </w:pPr>
            <w:r>
              <w:rPr>
                <w:sz w:val="20"/>
              </w:rPr>
              <w:t>Crisis del</w:t>
            </w:r>
            <w:r>
              <w:rPr>
                <w:spacing w:val="42"/>
                <w:sz w:val="20"/>
              </w:rPr>
              <w:t> </w:t>
            </w:r>
            <w:r>
              <w:rPr>
                <w:sz w:val="20"/>
              </w:rPr>
              <w:t>capitalismo</w:t>
            </w:r>
          </w:p>
          <w:p>
            <w:pPr>
              <w:pStyle w:val="TableParagraph"/>
              <w:numPr>
                <w:ilvl w:val="0"/>
                <w:numId w:val="40"/>
              </w:numPr>
              <w:tabs>
                <w:tab w:pos="462" w:val="left" w:leader="none"/>
                <w:tab w:pos="463" w:val="left" w:leader="none"/>
              </w:tabs>
              <w:spacing w:line="240" w:lineRule="auto" w:before="1" w:after="0"/>
              <w:ind w:left="462" w:right="522" w:hanging="358"/>
              <w:jc w:val="left"/>
              <w:rPr>
                <w:sz w:val="20"/>
              </w:rPr>
            </w:pPr>
            <w:r>
              <w:rPr>
                <w:sz w:val="20"/>
              </w:rPr>
              <w:t>Imagen del presidente en el</w:t>
            </w:r>
            <w:r>
              <w:rPr>
                <w:spacing w:val="36"/>
                <w:sz w:val="20"/>
              </w:rPr>
              <w:t> </w:t>
            </w:r>
            <w:r>
              <w:rPr>
                <w:sz w:val="20"/>
              </w:rPr>
              <w:t>contexto internacional</w:t>
            </w:r>
          </w:p>
          <w:p>
            <w:pPr>
              <w:pStyle w:val="TableParagraph"/>
              <w:numPr>
                <w:ilvl w:val="0"/>
                <w:numId w:val="40"/>
              </w:numPr>
              <w:tabs>
                <w:tab w:pos="462" w:val="left" w:leader="none"/>
                <w:tab w:pos="463" w:val="left" w:leader="none"/>
              </w:tabs>
              <w:spacing w:line="240" w:lineRule="auto" w:before="0" w:after="0"/>
              <w:ind w:left="462" w:right="511" w:hanging="358"/>
              <w:jc w:val="left"/>
              <w:rPr>
                <w:sz w:val="20"/>
              </w:rPr>
            </w:pPr>
            <w:r>
              <w:rPr>
                <w:sz w:val="20"/>
              </w:rPr>
              <w:t>El modelo económico comunitario del estado</w:t>
            </w:r>
            <w:r>
              <w:rPr>
                <w:spacing w:val="-1"/>
                <w:sz w:val="20"/>
              </w:rPr>
              <w:t> </w:t>
            </w:r>
            <w:r>
              <w:rPr>
                <w:sz w:val="20"/>
              </w:rPr>
              <w:t>plurinacional</w:t>
            </w:r>
          </w:p>
          <w:p>
            <w:pPr>
              <w:pStyle w:val="TableParagraph"/>
              <w:numPr>
                <w:ilvl w:val="0"/>
                <w:numId w:val="40"/>
              </w:numPr>
              <w:tabs>
                <w:tab w:pos="462" w:val="left" w:leader="none"/>
                <w:tab w:pos="463" w:val="left" w:leader="none"/>
              </w:tabs>
              <w:spacing w:line="240" w:lineRule="auto" w:before="1" w:after="0"/>
              <w:ind w:left="462" w:right="323" w:hanging="358"/>
              <w:jc w:val="left"/>
              <w:rPr>
                <w:sz w:val="20"/>
              </w:rPr>
            </w:pPr>
            <w:r>
              <w:rPr>
                <w:sz w:val="20"/>
              </w:rPr>
              <w:t>Existencias de organizaciones internacionales como ser UNASUR,</w:t>
            </w:r>
            <w:r>
              <w:rPr>
                <w:spacing w:val="-8"/>
                <w:sz w:val="20"/>
              </w:rPr>
              <w:t> </w:t>
            </w:r>
            <w:r>
              <w:rPr>
                <w:spacing w:val="-3"/>
                <w:sz w:val="20"/>
              </w:rPr>
              <w:t>alba</w:t>
            </w:r>
          </w:p>
          <w:p>
            <w:pPr>
              <w:pStyle w:val="TableParagraph"/>
              <w:numPr>
                <w:ilvl w:val="0"/>
                <w:numId w:val="40"/>
              </w:numPr>
              <w:tabs>
                <w:tab w:pos="462" w:val="left" w:leader="none"/>
                <w:tab w:pos="463" w:val="left" w:leader="none"/>
              </w:tabs>
              <w:spacing w:line="243" w:lineRule="exact" w:before="0" w:after="0"/>
              <w:ind w:left="462" w:right="0" w:hanging="358"/>
              <w:jc w:val="left"/>
              <w:rPr>
                <w:sz w:val="20"/>
              </w:rPr>
            </w:pPr>
            <w:r>
              <w:rPr>
                <w:sz w:val="20"/>
              </w:rPr>
              <w:t>Generar recursos</w:t>
            </w:r>
            <w:r>
              <w:rPr>
                <w:spacing w:val="42"/>
                <w:sz w:val="20"/>
              </w:rPr>
              <w:t> </w:t>
            </w:r>
            <w:r>
              <w:rPr>
                <w:sz w:val="20"/>
              </w:rPr>
              <w:t>propios</w:t>
            </w:r>
          </w:p>
          <w:p>
            <w:pPr>
              <w:pStyle w:val="TableParagraph"/>
              <w:numPr>
                <w:ilvl w:val="0"/>
                <w:numId w:val="40"/>
              </w:numPr>
              <w:tabs>
                <w:tab w:pos="462" w:val="left" w:leader="none"/>
                <w:tab w:pos="463" w:val="left" w:leader="none"/>
              </w:tabs>
              <w:spacing w:line="240" w:lineRule="auto" w:before="1" w:after="0"/>
              <w:ind w:left="462" w:right="167" w:hanging="358"/>
              <w:jc w:val="left"/>
              <w:rPr>
                <w:sz w:val="20"/>
              </w:rPr>
            </w:pPr>
            <w:r>
              <w:rPr>
                <w:sz w:val="20"/>
              </w:rPr>
              <w:t>La declaraciones de las naciones unidas</w:t>
            </w:r>
            <w:r>
              <w:rPr>
                <w:spacing w:val="-14"/>
                <w:sz w:val="20"/>
              </w:rPr>
              <w:t> </w:t>
            </w:r>
            <w:r>
              <w:rPr>
                <w:sz w:val="20"/>
              </w:rPr>
              <w:t>y el convenio nª 169 de la</w:t>
            </w:r>
            <w:r>
              <w:rPr>
                <w:spacing w:val="-6"/>
                <w:sz w:val="20"/>
              </w:rPr>
              <w:t> </w:t>
            </w:r>
            <w:r>
              <w:rPr>
                <w:sz w:val="20"/>
              </w:rPr>
              <w:t>OIT</w:t>
            </w:r>
          </w:p>
        </w:tc>
      </w:tr>
      <w:tr>
        <w:trPr>
          <w:trHeight w:val="244" w:hRule="atLeast"/>
        </w:trPr>
        <w:tc>
          <w:tcPr>
            <w:tcW w:w="5809" w:type="dxa"/>
          </w:tcPr>
          <w:p>
            <w:pPr>
              <w:pStyle w:val="TableParagraph"/>
              <w:rPr>
                <w:rFonts w:ascii="Times New Roman"/>
                <w:sz w:val="16"/>
              </w:rPr>
            </w:pPr>
          </w:p>
        </w:tc>
        <w:tc>
          <w:tcPr>
            <w:tcW w:w="4112" w:type="dxa"/>
          </w:tcPr>
          <w:p>
            <w:pPr>
              <w:pStyle w:val="TableParagraph"/>
              <w:spacing w:line="224" w:lineRule="exact"/>
              <w:ind w:left="105"/>
              <w:rPr>
                <w:sz w:val="20"/>
              </w:rPr>
            </w:pPr>
            <w:r>
              <w:rPr>
                <w:sz w:val="20"/>
              </w:rPr>
              <w:t>8.</w:t>
            </w:r>
          </w:p>
        </w:tc>
      </w:tr>
      <w:tr>
        <w:trPr>
          <w:trHeight w:val="1612" w:hRule="atLeast"/>
        </w:trPr>
        <w:tc>
          <w:tcPr>
            <w:tcW w:w="5809" w:type="dxa"/>
          </w:tcPr>
          <w:p>
            <w:pPr>
              <w:pStyle w:val="TableParagraph"/>
              <w:numPr>
                <w:ilvl w:val="0"/>
                <w:numId w:val="41"/>
              </w:numPr>
              <w:tabs>
                <w:tab w:pos="278" w:val="left" w:leader="none"/>
              </w:tabs>
              <w:spacing w:line="240" w:lineRule="auto" w:before="0" w:after="0"/>
              <w:ind w:left="107" w:right="290" w:firstLine="0"/>
              <w:jc w:val="left"/>
              <w:rPr>
                <w:sz w:val="22"/>
              </w:rPr>
            </w:pPr>
            <w:r>
              <w:rPr>
                <w:sz w:val="22"/>
              </w:rPr>
              <w:t>Carencia de imagen institucional en el contexto nacional  e internacional de la UNIBOL</w:t>
            </w:r>
            <w:r>
              <w:rPr>
                <w:spacing w:val="1"/>
                <w:sz w:val="22"/>
              </w:rPr>
              <w:t> </w:t>
            </w:r>
            <w:r>
              <w:rPr>
                <w:sz w:val="22"/>
              </w:rPr>
              <w:t>quechua</w:t>
            </w:r>
          </w:p>
          <w:p>
            <w:pPr>
              <w:pStyle w:val="TableParagraph"/>
              <w:numPr>
                <w:ilvl w:val="0"/>
                <w:numId w:val="41"/>
              </w:numPr>
              <w:tabs>
                <w:tab w:pos="327" w:val="left" w:leader="none"/>
              </w:tabs>
              <w:spacing w:line="240" w:lineRule="auto" w:before="0" w:after="0"/>
              <w:ind w:left="326" w:right="0" w:hanging="220"/>
              <w:jc w:val="left"/>
              <w:rPr>
                <w:sz w:val="22"/>
              </w:rPr>
            </w:pPr>
            <w:r>
              <w:rPr>
                <w:sz w:val="22"/>
              </w:rPr>
              <w:t>Dependencia económica de los recursos del</w:t>
            </w:r>
            <w:r>
              <w:rPr>
                <w:spacing w:val="45"/>
                <w:sz w:val="22"/>
              </w:rPr>
              <w:t> </w:t>
            </w:r>
            <w:r>
              <w:rPr>
                <w:sz w:val="22"/>
              </w:rPr>
              <w:t>IDH</w:t>
            </w:r>
          </w:p>
          <w:p>
            <w:pPr>
              <w:pStyle w:val="TableParagraph"/>
              <w:numPr>
                <w:ilvl w:val="0"/>
                <w:numId w:val="41"/>
              </w:numPr>
              <w:tabs>
                <w:tab w:pos="327" w:val="left" w:leader="none"/>
              </w:tabs>
              <w:spacing w:line="240" w:lineRule="auto" w:before="0" w:after="0"/>
              <w:ind w:left="107" w:right="102" w:firstLine="0"/>
              <w:jc w:val="left"/>
              <w:rPr>
                <w:sz w:val="22"/>
              </w:rPr>
            </w:pPr>
            <w:r>
              <w:rPr>
                <w:sz w:val="22"/>
              </w:rPr>
              <w:t>Carencia de centros de investigación falta de convenios institucionales, regionales, departamentales e</w:t>
            </w:r>
            <w:r>
              <w:rPr>
                <w:spacing w:val="-19"/>
                <w:sz w:val="22"/>
              </w:rPr>
              <w:t> </w:t>
            </w:r>
            <w:r>
              <w:rPr>
                <w:sz w:val="22"/>
              </w:rPr>
              <w:t>internacionales</w:t>
            </w:r>
          </w:p>
          <w:p>
            <w:pPr>
              <w:pStyle w:val="TableParagraph"/>
              <w:numPr>
                <w:ilvl w:val="0"/>
                <w:numId w:val="41"/>
              </w:numPr>
              <w:tabs>
                <w:tab w:pos="327" w:val="left" w:leader="none"/>
              </w:tabs>
              <w:spacing w:line="252" w:lineRule="exact" w:before="0" w:after="0"/>
              <w:ind w:left="326" w:right="0" w:hanging="220"/>
              <w:jc w:val="left"/>
              <w:rPr>
                <w:sz w:val="22"/>
              </w:rPr>
            </w:pPr>
            <w:r>
              <w:rPr>
                <w:sz w:val="22"/>
              </w:rPr>
              <w:t>Falta de gestión de becas pre y pos</w:t>
            </w:r>
            <w:r>
              <w:rPr>
                <w:spacing w:val="-6"/>
                <w:sz w:val="22"/>
              </w:rPr>
              <w:t> </w:t>
            </w:r>
            <w:r>
              <w:rPr>
                <w:sz w:val="22"/>
              </w:rPr>
              <w:t>grado</w:t>
            </w:r>
          </w:p>
        </w:tc>
        <w:tc>
          <w:tcPr>
            <w:tcW w:w="4112" w:type="dxa"/>
          </w:tcPr>
          <w:p>
            <w:pPr>
              <w:pStyle w:val="TableParagraph"/>
              <w:numPr>
                <w:ilvl w:val="0"/>
                <w:numId w:val="42"/>
              </w:numPr>
              <w:tabs>
                <w:tab w:pos="826" w:val="left" w:leader="none"/>
              </w:tabs>
              <w:spacing w:line="240" w:lineRule="auto" w:before="0" w:after="0"/>
              <w:ind w:left="825" w:right="401" w:hanging="360"/>
              <w:jc w:val="left"/>
              <w:rPr>
                <w:sz w:val="22"/>
              </w:rPr>
            </w:pPr>
            <w:r>
              <w:rPr>
                <w:sz w:val="22"/>
              </w:rPr>
              <w:t>Fluctuación de baja precio del petróleo</w:t>
            </w:r>
          </w:p>
          <w:p>
            <w:pPr>
              <w:pStyle w:val="TableParagraph"/>
              <w:numPr>
                <w:ilvl w:val="0"/>
                <w:numId w:val="42"/>
              </w:numPr>
              <w:tabs>
                <w:tab w:pos="826" w:val="left" w:leader="none"/>
              </w:tabs>
              <w:spacing w:line="240" w:lineRule="auto" w:before="0" w:after="0"/>
              <w:ind w:left="825" w:right="287" w:hanging="360"/>
              <w:jc w:val="left"/>
              <w:rPr>
                <w:sz w:val="22"/>
              </w:rPr>
            </w:pPr>
            <w:r>
              <w:rPr>
                <w:sz w:val="22"/>
              </w:rPr>
              <w:t>Países con políticas diferentes al modelo político del estado plurinacional</w:t>
            </w:r>
          </w:p>
          <w:p>
            <w:pPr>
              <w:pStyle w:val="TableParagraph"/>
              <w:numPr>
                <w:ilvl w:val="0"/>
                <w:numId w:val="42"/>
              </w:numPr>
              <w:tabs>
                <w:tab w:pos="826" w:val="left" w:leader="none"/>
              </w:tabs>
              <w:spacing w:line="252" w:lineRule="exact" w:before="0" w:after="0"/>
              <w:ind w:left="825" w:right="0" w:hanging="361"/>
              <w:jc w:val="left"/>
              <w:rPr>
                <w:sz w:val="22"/>
              </w:rPr>
            </w:pPr>
            <w:r>
              <w:rPr>
                <w:sz w:val="22"/>
              </w:rPr>
              <w:t>Globalización</w:t>
            </w:r>
          </w:p>
        </w:tc>
      </w:tr>
    </w:tbl>
    <w:p>
      <w:pPr>
        <w:spacing w:after="0" w:line="252" w:lineRule="exact"/>
        <w:jc w:val="left"/>
        <w:rPr>
          <w:sz w:val="22"/>
        </w:rPr>
        <w:sectPr>
          <w:pgSz w:w="11910" w:h="16840"/>
          <w:pgMar w:header="0" w:footer="922" w:top="1580" w:bottom="1200" w:left="620" w:right="280"/>
        </w:sectPr>
      </w:pPr>
    </w:p>
    <w:p>
      <w:pPr>
        <w:pStyle w:val="ListParagraph"/>
        <w:numPr>
          <w:ilvl w:val="1"/>
          <w:numId w:val="11"/>
        </w:numPr>
        <w:tabs>
          <w:tab w:pos="2154" w:val="left" w:leader="none"/>
          <w:tab w:pos="2155" w:val="left" w:leader="none"/>
        </w:tabs>
        <w:spacing w:line="278" w:lineRule="auto" w:before="76" w:after="0"/>
        <w:ind w:left="2085" w:right="1996" w:hanging="720"/>
        <w:jc w:val="left"/>
        <w:rPr>
          <w:b/>
          <w:sz w:val="24"/>
        </w:rPr>
      </w:pPr>
      <w:r>
        <w:rPr/>
        <w:tab/>
      </w:r>
      <w:r>
        <w:rPr>
          <w:b/>
          <w:sz w:val="24"/>
        </w:rPr>
        <w:t>ANALISIS DIAGNOSTICO DESDE </w:t>
      </w:r>
      <w:r>
        <w:rPr>
          <w:b/>
          <w:spacing w:val="-3"/>
          <w:sz w:val="24"/>
        </w:rPr>
        <w:t>LAS </w:t>
      </w:r>
      <w:r>
        <w:rPr>
          <w:b/>
          <w:sz w:val="24"/>
        </w:rPr>
        <w:t>DIMENSIONES DE LA CHACANA</w:t>
      </w:r>
    </w:p>
    <w:p>
      <w:pPr>
        <w:pStyle w:val="BodyText"/>
        <w:spacing w:line="276" w:lineRule="auto" w:before="195"/>
        <w:ind w:left="1082" w:right="846"/>
        <w:jc w:val="both"/>
      </w:pPr>
      <w:r>
        <w:rPr/>
        <w:t>Los resultados que se muestran en los cuadros del FODA realizado con la comunidad universitaria, nos muestran la perspectiva principalmente académica. Para completar este análisis desde la perspectiva las organizaciones de la Nación Quechua, que viene a ser la razón de ser de las Unibol Quechua, se ha completado este trabajo con el conjunto de los estamentos de la Unibol Quechua, integrada en la Junta Comunitaria de la universidad, pero dándole mayor realce a la participación de las dirigencias de las organizaciones quechuas representadas en la Junta, reforzado con invitados líderes y autoridades quechuas de diversas instancias orgánicas y estatales, quienes han podido aportar y compartir sus análisis con la Comunidad educativa universitaria quechua. Este trabajo se ha realizado con la metodología Chakana, que ha permitido reforzar los análisis integral en cuatro niveles dimensiones: Yachay, Ruway, Atiy y Munay: Expresados como las cuatro dimensiones vitales básicas de la Chakana que nos permite manejar de manera integral y desde la cosmovisión quechua, el análisis de la realidad, en este caso del entorno interno y externo de la Unibol Quechua.</w:t>
      </w:r>
    </w:p>
    <w:p>
      <w:pPr>
        <w:pStyle w:val="BodyText"/>
        <w:spacing w:line="276" w:lineRule="auto" w:before="201"/>
        <w:ind w:left="1082" w:right="856"/>
        <w:jc w:val="both"/>
      </w:pPr>
      <w:r>
        <w:rPr/>
        <w:t>Una síntesis de este trabajo se puede expresar de manera principal en el Nivel Institucional Académico en cuatro dimensiones:</w:t>
      </w:r>
    </w:p>
    <w:p>
      <w:pPr>
        <w:pStyle w:val="BodyText"/>
        <w:spacing w:line="276" w:lineRule="auto" w:before="200"/>
        <w:ind w:left="1082" w:right="847"/>
        <w:jc w:val="both"/>
      </w:pPr>
      <w:r>
        <w:rPr/>
        <w:t>YACHAY: relacionado con el rol académico formativo quechua que la Unibol debe jugar. Se expresa que todavía el modelo académico no responde a los intereses estratégicos ni necesidades expresas de la Nación Quechua y sus organizaciones. Debe profundizarse en la identidad quechua del modelo comunitario educativo, pedagógico, tecnológico productivo y descolonizador; de la misma manera se ve necesario definir los perfiles de entrada y salida de los alumnos, pero también los perfiles de entrada y salida de los académicos de la Unibol Quechua.</w:t>
      </w:r>
    </w:p>
    <w:p>
      <w:pPr>
        <w:pStyle w:val="BodyText"/>
        <w:spacing w:line="276" w:lineRule="auto" w:before="200"/>
        <w:ind w:left="1082" w:right="847"/>
        <w:jc w:val="both"/>
      </w:pPr>
      <w:r>
        <w:rPr/>
        <w:t>ATIY: El modelo organizativo, tampoco responde a una universidad orgánica de la Nación Quechua y sus organizaciones, más bien existe tendencia a seguir el modelo autonómico universitario público, quizá por falta de referentes, pero se expresa la urgencia de generar un modelo organizativo quechua.de la Unibol Quechua. Se plantea como relación de interacción permanente, la relación orgánica-académica permanente y que esta pueda regir la vida de la Universidad.</w:t>
      </w:r>
    </w:p>
    <w:p>
      <w:pPr>
        <w:pStyle w:val="BodyText"/>
        <w:spacing w:line="276" w:lineRule="auto" w:before="202"/>
        <w:ind w:left="1082" w:right="846"/>
        <w:jc w:val="both"/>
      </w:pPr>
      <w:r>
        <w:rPr/>
        <w:t>MUNAY: En la parte identitaria, cultural territorial Por un lado se muestra se muestra la situación interna de debilidad de la identidad cultural quechua expresada por una parte en la falta de académicos y alumnos comprometidos con el proceso de cambio y con la identidad y cosmovisión de la nación quechua. Por la otra parte, la falta del manejo territorial desde la cultura quechua, desde las diversas territorialidades quechuas de donde provienen los alumnos. El Campus universitario es un territorio aislado y esta tendencia orienta al modelo clásico de autonomía universitaria  pública. Existe clara necesidad de reconfigurar territorialmente y aprovechar</w:t>
      </w:r>
      <w:r>
        <w:rPr>
          <w:spacing w:val="38"/>
        </w:rPr>
        <w:t> </w:t>
      </w:r>
      <w:r>
        <w:rPr/>
        <w:t>las</w:t>
      </w:r>
    </w:p>
    <w:p>
      <w:pPr>
        <w:spacing w:after="0" w:line="276" w:lineRule="auto"/>
        <w:jc w:val="both"/>
        <w:sectPr>
          <w:pgSz w:w="11910" w:h="16840"/>
          <w:pgMar w:header="0" w:footer="922" w:top="1320" w:bottom="1200" w:left="620" w:right="280"/>
        </w:sectPr>
      </w:pPr>
    </w:p>
    <w:p>
      <w:pPr>
        <w:pStyle w:val="BodyText"/>
        <w:spacing w:line="278" w:lineRule="auto" w:before="76"/>
        <w:ind w:left="1082" w:right="849"/>
        <w:jc w:val="both"/>
      </w:pPr>
      <w:r>
        <w:rPr/>
        <w:t>potencialidades de las territorialidades de la Nación Quechua y trabajar de manera interarticulada.</w:t>
      </w:r>
    </w:p>
    <w:p>
      <w:pPr>
        <w:pStyle w:val="BodyText"/>
        <w:spacing w:line="276" w:lineRule="auto" w:before="195"/>
        <w:ind w:left="1082" w:right="846"/>
        <w:jc w:val="both"/>
      </w:pPr>
      <w:r>
        <w:rPr/>
        <w:t>RUWAY: En la parte económica productiva, se puede ver que como producto de la concepción descrita en las anteriores dimensiones,, los trabajos prácticos y productivos, también están centrado en las acciones de aula y de Campus. No existe producción investigativa ni tecnológica en base a las necesidades productivas de las comunidades, las territorialidades de las organizaciones y la Nación Quechua, Toso este conjunto nos muestra que tampoco existe relación con los desafíos político económicos productivos del Estado Plurinacional. La producción de conocimientos, de proyectos, de profesionales etc, todavía está dominada por la por la lógica de producción y economía de mercado, no se toma en cuenta la cultura comunitaria quechua y su trabajo, producción y economía comunitaria quechuas con sus respectivas relaciones de producción. Las dirigencias plantean la relación directa entre las tareas productivas reproductivas de la Unibol Quechua, con las tareas políticas, económicas productivas de la Nación Quechua y sus organizaciones en el Estado Plurinacional boliviano.</w:t>
      </w:r>
    </w:p>
    <w:p>
      <w:pPr>
        <w:pStyle w:val="BodyText"/>
        <w:spacing w:line="276" w:lineRule="auto" w:before="201"/>
        <w:ind w:left="1082" w:right="854"/>
        <w:jc w:val="both"/>
      </w:pPr>
      <w:r>
        <w:rPr/>
        <w:t>Este segundo trabajo nos ha permitido completar la proyección del PEI de la UNIBOL Quechua quinquenal, sin embargo, como expresan las dirigencias quechuas, esta debe ser solo como una base para una proyección mayor de por lo menos 20 años, porque las estrategias ancestrales tienen diferentes tiempos y dimensiones, no solamente</w:t>
      </w:r>
      <w:r>
        <w:rPr>
          <w:spacing w:val="-2"/>
        </w:rPr>
        <w:t> </w:t>
      </w:r>
      <w:r>
        <w:rPr/>
        <w:t>cortos.</w:t>
      </w:r>
    </w:p>
    <w:p>
      <w:pPr>
        <w:pStyle w:val="Heading3"/>
        <w:numPr>
          <w:ilvl w:val="1"/>
          <w:numId w:val="11"/>
        </w:numPr>
        <w:tabs>
          <w:tab w:pos="2085" w:val="left" w:leader="none"/>
          <w:tab w:pos="2086" w:val="left" w:leader="none"/>
        </w:tabs>
        <w:spacing w:line="240" w:lineRule="auto" w:before="199" w:after="0"/>
        <w:ind w:left="2085" w:right="0" w:hanging="721"/>
        <w:jc w:val="left"/>
      </w:pPr>
      <w:r>
        <w:rPr/>
        <w:t>PROYECCIONES SEGÚN ESCENARIOS POSIBLES</w:t>
      </w:r>
    </w:p>
    <w:p>
      <w:pPr>
        <w:pStyle w:val="BodyText"/>
        <w:spacing w:before="1"/>
        <w:rPr>
          <w:b/>
          <w:sz w:val="21"/>
        </w:rPr>
      </w:pPr>
    </w:p>
    <w:p>
      <w:pPr>
        <w:pStyle w:val="BodyText"/>
        <w:spacing w:line="276" w:lineRule="auto"/>
        <w:ind w:left="1082" w:right="848"/>
        <w:jc w:val="both"/>
      </w:pPr>
      <w:r>
        <w:rPr/>
        <w:t>En la elaboración del Plan Estratégico es fundamental considerar los posibles escenarios a presentarse a nivel social, político y cultural. Esta consideración evita hacer planes ideales, sino centrados en la realidad que se vive ya en lo local, nacional e internacional. Por esta razón se hizo un análisis global de la situación que se avizora y cuál sería el posible escenario a presentarse en tiempos venideros. Se hipotetizó sobre dos situaciones que podrían presentarse, el más probable el escenario favorable, pero también el escenario desfavorable que podría suscitarse en el devenir del tiempo. A continuación se detallas las mismas. (Se sugiere en dos columnas, lado a</w:t>
      </w:r>
      <w:r>
        <w:rPr>
          <w:spacing w:val="-2"/>
        </w:rPr>
        <w:t> </w:t>
      </w:r>
      <w:r>
        <w:rPr/>
        <w:t>lado)</w:t>
      </w:r>
    </w:p>
    <w:p>
      <w:pPr>
        <w:pStyle w:val="BodyText"/>
        <w:rPr>
          <w:sz w:val="26"/>
        </w:rPr>
      </w:pPr>
    </w:p>
    <w:p>
      <w:pPr>
        <w:pStyle w:val="Heading3"/>
        <w:spacing w:line="276" w:lineRule="auto" w:before="177"/>
        <w:ind w:right="852"/>
        <w:jc w:val="both"/>
      </w:pPr>
      <w:r>
        <w:rPr/>
        <w:t>OPORTUNIDADES Y DESAFIOS DEL </w:t>
      </w:r>
      <w:r>
        <w:rPr>
          <w:u w:val="thick"/>
        </w:rPr>
        <w:t>QUINQUENIO</w:t>
      </w:r>
      <w:r>
        <w:rPr/>
        <w:t> PARA LAS PROPUESTAS ECONOMICAS Y FORMATIVAS PLURINACIONALES DESDE LA UNIBOL QUECHUA</w:t>
      </w:r>
    </w:p>
    <w:p>
      <w:pPr>
        <w:pStyle w:val="BodyText"/>
        <w:spacing w:line="276" w:lineRule="auto" w:before="202"/>
        <w:ind w:left="1082" w:right="1143"/>
      </w:pPr>
      <w:r>
        <w:rPr/>
        <w:t>Seis serían los escenarios para la acción de la UNIBOL Quechua en la proyección del PEI:</w:t>
      </w:r>
    </w:p>
    <w:p>
      <w:pPr>
        <w:pStyle w:val="ListParagraph"/>
        <w:numPr>
          <w:ilvl w:val="0"/>
          <w:numId w:val="43"/>
        </w:numPr>
        <w:tabs>
          <w:tab w:pos="1802" w:val="left" w:leader="none"/>
        </w:tabs>
        <w:spacing w:line="278" w:lineRule="auto" w:before="198" w:after="0"/>
        <w:ind w:left="1802" w:right="1110" w:hanging="360"/>
        <w:jc w:val="left"/>
        <w:rPr>
          <w:sz w:val="24"/>
        </w:rPr>
      </w:pPr>
      <w:r>
        <w:rPr>
          <w:sz w:val="24"/>
        </w:rPr>
        <w:t>Agenda patriótica 2025: Lograr mostrar una Bolivia sin pobreza orgullosa</w:t>
      </w:r>
      <w:r>
        <w:rPr>
          <w:spacing w:val="-33"/>
          <w:sz w:val="24"/>
        </w:rPr>
        <w:t> </w:t>
      </w:r>
      <w:r>
        <w:rPr>
          <w:sz w:val="24"/>
        </w:rPr>
        <w:t>de su</w:t>
      </w:r>
      <w:r>
        <w:rPr>
          <w:spacing w:val="-1"/>
          <w:sz w:val="24"/>
        </w:rPr>
        <w:t> </w:t>
      </w:r>
      <w:r>
        <w:rPr>
          <w:sz w:val="24"/>
        </w:rPr>
        <w:t>plurinacionalidad.</w:t>
      </w:r>
    </w:p>
    <w:p>
      <w:pPr>
        <w:spacing w:after="0" w:line="278" w:lineRule="auto"/>
        <w:jc w:val="left"/>
        <w:rPr>
          <w:sz w:val="24"/>
        </w:rPr>
        <w:sectPr>
          <w:pgSz w:w="11910" w:h="16840"/>
          <w:pgMar w:header="0" w:footer="922" w:top="1320" w:bottom="1200" w:left="620" w:right="280"/>
        </w:sectPr>
      </w:pPr>
    </w:p>
    <w:p>
      <w:pPr>
        <w:pStyle w:val="ListParagraph"/>
        <w:numPr>
          <w:ilvl w:val="0"/>
          <w:numId w:val="43"/>
        </w:numPr>
        <w:tabs>
          <w:tab w:pos="1802" w:val="left" w:leader="none"/>
        </w:tabs>
        <w:spacing w:line="278" w:lineRule="auto" w:before="76" w:after="0"/>
        <w:ind w:left="1802" w:right="1149" w:hanging="360"/>
        <w:jc w:val="left"/>
        <w:rPr>
          <w:sz w:val="24"/>
        </w:rPr>
      </w:pPr>
      <w:r>
        <w:rPr>
          <w:sz w:val="24"/>
        </w:rPr>
        <w:t>Nuevos Gobiernos y autonomías subnacionales: Lograr dirigir la Inversión</w:t>
      </w:r>
      <w:r>
        <w:rPr>
          <w:spacing w:val="-26"/>
          <w:sz w:val="24"/>
        </w:rPr>
        <w:t> </w:t>
      </w:r>
      <w:r>
        <w:rPr>
          <w:sz w:val="24"/>
        </w:rPr>
        <w:t>y planificación que hagan viables económicamente los territorios</w:t>
      </w:r>
      <w:r>
        <w:rPr>
          <w:spacing w:val="-13"/>
          <w:sz w:val="24"/>
        </w:rPr>
        <w:t> </w:t>
      </w:r>
      <w:r>
        <w:rPr>
          <w:sz w:val="24"/>
        </w:rPr>
        <w:t>IOCs.</w:t>
      </w:r>
    </w:p>
    <w:p>
      <w:pPr>
        <w:pStyle w:val="ListParagraph"/>
        <w:numPr>
          <w:ilvl w:val="0"/>
          <w:numId w:val="43"/>
        </w:numPr>
        <w:tabs>
          <w:tab w:pos="1802" w:val="left" w:leader="none"/>
        </w:tabs>
        <w:spacing w:line="276" w:lineRule="auto" w:before="195" w:after="0"/>
        <w:ind w:left="1802" w:right="1852" w:hanging="360"/>
        <w:jc w:val="left"/>
        <w:rPr>
          <w:sz w:val="24"/>
        </w:rPr>
      </w:pPr>
      <w:r>
        <w:rPr>
          <w:sz w:val="24"/>
        </w:rPr>
        <w:t>Sembrando Bolivia: Lograr aportar producción con cantidad y calidad saludable para mantener una Bolivia con seguridad</w:t>
      </w:r>
      <w:r>
        <w:rPr>
          <w:spacing w:val="-16"/>
          <w:sz w:val="24"/>
        </w:rPr>
        <w:t> </w:t>
      </w:r>
      <w:r>
        <w:rPr>
          <w:sz w:val="24"/>
        </w:rPr>
        <w:t>Alimentaria.</w:t>
      </w:r>
    </w:p>
    <w:p>
      <w:pPr>
        <w:pStyle w:val="ListParagraph"/>
        <w:numPr>
          <w:ilvl w:val="0"/>
          <w:numId w:val="43"/>
        </w:numPr>
        <w:tabs>
          <w:tab w:pos="1802" w:val="left" w:leader="none"/>
        </w:tabs>
        <w:spacing w:line="276" w:lineRule="auto" w:before="200" w:after="0"/>
        <w:ind w:left="1802" w:right="1530" w:hanging="360"/>
        <w:jc w:val="left"/>
        <w:rPr>
          <w:sz w:val="24"/>
        </w:rPr>
      </w:pPr>
      <w:r>
        <w:rPr>
          <w:sz w:val="24"/>
        </w:rPr>
        <w:t>Revolución Productiva Comunitaria Agropecuaria: Lograr mostrar que la producción y economía comunitaria es la alternativa al capitalismo agroindustrial y construir la soberanía productiva y</w:t>
      </w:r>
      <w:r>
        <w:rPr>
          <w:spacing w:val="-13"/>
          <w:sz w:val="24"/>
        </w:rPr>
        <w:t> </w:t>
      </w:r>
      <w:r>
        <w:rPr>
          <w:sz w:val="24"/>
        </w:rPr>
        <w:t>alimentaria.</w:t>
      </w:r>
    </w:p>
    <w:p>
      <w:pPr>
        <w:pStyle w:val="ListParagraph"/>
        <w:numPr>
          <w:ilvl w:val="0"/>
          <w:numId w:val="43"/>
        </w:numPr>
        <w:tabs>
          <w:tab w:pos="1802" w:val="left" w:leader="none"/>
        </w:tabs>
        <w:spacing w:line="276" w:lineRule="auto" w:before="200" w:after="0"/>
        <w:ind w:left="1802" w:right="909" w:hanging="360"/>
        <w:jc w:val="left"/>
        <w:rPr>
          <w:sz w:val="24"/>
        </w:rPr>
      </w:pPr>
      <w:r>
        <w:rPr>
          <w:sz w:val="24"/>
        </w:rPr>
        <w:t>Soberanía tecnológica: Logra producir tecnologías que aporten a la</w:t>
      </w:r>
      <w:r>
        <w:rPr>
          <w:spacing w:val="-32"/>
          <w:sz w:val="24"/>
        </w:rPr>
        <w:t> </w:t>
      </w:r>
      <w:r>
        <w:rPr>
          <w:sz w:val="24"/>
        </w:rPr>
        <w:t>soberanía integral del</w:t>
      </w:r>
      <w:r>
        <w:rPr>
          <w:spacing w:val="-1"/>
          <w:sz w:val="24"/>
        </w:rPr>
        <w:t> </w:t>
      </w:r>
      <w:r>
        <w:rPr>
          <w:sz w:val="24"/>
        </w:rPr>
        <w:t>país.</w:t>
      </w:r>
    </w:p>
    <w:p>
      <w:pPr>
        <w:pStyle w:val="ListParagraph"/>
        <w:numPr>
          <w:ilvl w:val="0"/>
          <w:numId w:val="43"/>
        </w:numPr>
        <w:tabs>
          <w:tab w:pos="1802" w:val="left" w:leader="none"/>
        </w:tabs>
        <w:spacing w:line="276" w:lineRule="auto" w:before="201" w:after="0"/>
        <w:ind w:left="1802" w:right="1571" w:hanging="360"/>
        <w:jc w:val="both"/>
        <w:rPr>
          <w:sz w:val="24"/>
        </w:rPr>
      </w:pPr>
      <w:r>
        <w:rPr>
          <w:sz w:val="24"/>
        </w:rPr>
        <w:t>Crisis/privatización de la Universidad convencional: Lograr posicionar la calidad de los/as profesionales del sistema UNIBOL para encarar estos desafíos.</w:t>
      </w:r>
    </w:p>
    <w:p>
      <w:pPr>
        <w:pStyle w:val="BodyText"/>
        <w:spacing w:line="276" w:lineRule="auto" w:before="200"/>
        <w:ind w:left="1082" w:right="846"/>
        <w:jc w:val="both"/>
      </w:pPr>
      <w:r>
        <w:rPr/>
        <w:t>El primer escenario se relaciona con la Agenda patriótica 2025, se trata de Lograr mostrar una Bolivia sin pobreza orgullosa de su plurinacionalidad. La exigencia de la dirigencia quechua de una mayor proyección estratégica de la Unibol Quechua se materializa en este punto, tiene su instrumento en la mencionada agenda que le sirve a la Nación Quechua para operar de manera conjunta con su universidad y para mostrase con su universidad, con su contribución científico tecnológico y político económico a la vez, como un aporte práctico a la construcción del Estado plurinacional con identidad propia y sin pobreza. En quechua no existe la palabra pobre.</w:t>
      </w:r>
    </w:p>
    <w:p>
      <w:pPr>
        <w:pStyle w:val="BodyText"/>
        <w:spacing w:line="276" w:lineRule="auto" w:before="199"/>
        <w:ind w:left="1082" w:right="848"/>
        <w:jc w:val="both"/>
      </w:pPr>
      <w:r>
        <w:rPr/>
        <w:t>El segundo escenario viene a ser los Nuevos Gobiernos autonómicos  subnacionales, desde donde se puede actuar para lograr dirigir la Inversión y planificación que hagan viables económicamente los territorios indígenas originarios campesinos IOCs. Este escenario está siendo exigido por las dirigencias quechuas, porque nuestras organizaciones ya son parte o les toca gobernar estos niveles de Estado. Desde estos niveles de estado su puede lograr incidencia directa en las políticas</w:t>
      </w:r>
      <w:r>
        <w:rPr>
          <w:spacing w:val="-1"/>
        </w:rPr>
        <w:t> </w:t>
      </w:r>
      <w:r>
        <w:rPr/>
        <w:t>públicas.</w:t>
      </w:r>
    </w:p>
    <w:p>
      <w:pPr>
        <w:pStyle w:val="BodyText"/>
        <w:spacing w:line="276" w:lineRule="auto" w:before="201"/>
        <w:ind w:left="1082" w:right="847"/>
        <w:jc w:val="both"/>
      </w:pPr>
      <w:r>
        <w:rPr/>
        <w:t>El tercer escenario se basa en la propuesta de “Sembrando Bolivia” de parte de la agroindustria del oriente. El desafió de la Unibol Quechua está en la capacidad de generar producción en cantidad y calidad saludable desde las territorialidades quechuas para aportar a mantener a Bolivia con seguridad alimentaria. De mantenerse las proyecciones que a agroindustria ha planteado, los pequeños y medianos productores llegarán a ser muestras exóticas en medio de la gran producción agroindustrial convencional y transgénica, como pasa en los países industrializados, el desafío está en generar producción de calidad saludable ye incrementar los volúmenes de producción sana y saludable como aporte a la seguridad alimentaria del país.</w:t>
      </w:r>
    </w:p>
    <w:p>
      <w:pPr>
        <w:spacing w:after="0" w:line="276" w:lineRule="auto"/>
        <w:jc w:val="both"/>
        <w:sectPr>
          <w:pgSz w:w="11910" w:h="16840"/>
          <w:pgMar w:header="0" w:footer="922" w:top="1320" w:bottom="1200" w:left="620" w:right="280"/>
        </w:sectPr>
      </w:pPr>
    </w:p>
    <w:p>
      <w:pPr>
        <w:pStyle w:val="BodyText"/>
        <w:spacing w:line="276" w:lineRule="auto" w:before="76"/>
        <w:ind w:left="1082" w:right="856"/>
        <w:jc w:val="both"/>
      </w:pPr>
      <w:r>
        <w:rPr/>
        <w:t>Un cuarto escenario está generado a partir de la ley 144 de Revolución Productiva Comunitaria Agropecuaria. En este desafío se trata de lograr mostrar que la producción y economía comunitaria es la alternativa al capitalismo agroindustrial y para construir la soberanía productiva y alimentaria.</w:t>
      </w:r>
    </w:p>
    <w:p>
      <w:pPr>
        <w:pStyle w:val="BodyText"/>
        <w:spacing w:line="276" w:lineRule="auto" w:before="201"/>
        <w:ind w:left="1082" w:right="851"/>
        <w:jc w:val="both"/>
      </w:pPr>
      <w:r>
        <w:rPr/>
        <w:t>El quinto tiene que ver con la generación de tecnología propia, y entiéndase tecnología de manera tangible e intangible. Las sabidurías ancestrales han contado con tecnología propia, estas han hecho posible la resistencia y sobrevivencia de nuestras culturas de mas de 500 años, La capacidad dela Unibol debe ser de recrear y crear tecnología propia en el siglo XXI para hacer soberano a nuestro Estado Plurinacional y para hacer posible recuperar el SUMAJ KAWSAY.</w:t>
      </w:r>
    </w:p>
    <w:p>
      <w:pPr>
        <w:pStyle w:val="BodyText"/>
        <w:spacing w:line="276" w:lineRule="auto" w:before="199"/>
        <w:ind w:left="1082" w:right="847"/>
        <w:jc w:val="both"/>
      </w:pPr>
      <w:r>
        <w:rPr/>
        <w:t>El sexto tiene que ver con el contexto de las Universidades que dominan el espectro nacional académico, estas son las autónomas públicas y las privadas. Las primeras se encuentran en crisis académica y de gobierno. En calidad académica, hace falta que la universidad pública de saltos cualitativos enormes para alcanzar la competitividad y el reconocimiento de aportes tecnológicos significativos en el actual proceso del Estado Plurinacional, y más aún para hablar solo en el nivel latinoamericano. En el caso de la Universidad privada, estas están pensadas primeramente desde la lógica de la dinámica económica urbana y mercantil, ambas no responden a las lógicas comunitarias ni desde las necesidades y proyecciones productivas económicas comunitarias que nuestros pueblos exigen. Esta viene a ser una oportunidad y un escenario para nuestra Unibol Quechua para desarrollar su potencial y aporte formativo, tecnológico, productivo y económico comunitario.</w:t>
      </w:r>
    </w:p>
    <w:p>
      <w:pPr>
        <w:pStyle w:val="BodyText"/>
        <w:rPr>
          <w:sz w:val="26"/>
        </w:rPr>
      </w:pPr>
    </w:p>
    <w:p>
      <w:pPr>
        <w:pStyle w:val="BodyText"/>
        <w:spacing w:before="5"/>
        <w:rPr>
          <w:sz w:val="36"/>
        </w:rPr>
      </w:pPr>
    </w:p>
    <w:p>
      <w:pPr>
        <w:pStyle w:val="BodyText"/>
        <w:spacing w:line="276" w:lineRule="auto" w:before="1"/>
        <w:ind w:left="1082" w:right="845"/>
        <w:jc w:val="both"/>
      </w:pPr>
      <w:r>
        <w:rPr/>
        <w:t>Sobre la base de estos cinco escenarios es que se desarrolla el planteamiento del PEI de la UNIBOL quechua.</w:t>
      </w:r>
    </w:p>
    <w:p>
      <w:pPr>
        <w:pStyle w:val="BodyText"/>
        <w:spacing w:before="8"/>
        <w:rPr>
          <w:sz w:val="20"/>
        </w:rPr>
      </w:pPr>
    </w:p>
    <w:p>
      <w:pPr>
        <w:pStyle w:val="Heading3"/>
        <w:numPr>
          <w:ilvl w:val="0"/>
          <w:numId w:val="11"/>
        </w:numPr>
        <w:tabs>
          <w:tab w:pos="1533" w:val="left" w:leader="none"/>
          <w:tab w:pos="1534" w:val="left" w:leader="none"/>
        </w:tabs>
        <w:spacing w:line="240" w:lineRule="auto" w:before="1" w:after="0"/>
        <w:ind w:left="1533" w:right="0" w:hanging="452"/>
        <w:jc w:val="left"/>
      </w:pPr>
      <w:r>
        <w:rPr/>
        <w:t>MARCO DE</w:t>
      </w:r>
      <w:r>
        <w:rPr>
          <w:spacing w:val="-1"/>
        </w:rPr>
        <w:t> </w:t>
      </w:r>
      <w:r>
        <w:rPr/>
        <w:t>REFERENCIA</w:t>
      </w:r>
    </w:p>
    <w:p>
      <w:pPr>
        <w:pStyle w:val="BodyText"/>
        <w:spacing w:before="100"/>
        <w:ind w:left="1082" w:right="847"/>
        <w:jc w:val="both"/>
      </w:pPr>
      <w:r>
        <w:rPr/>
        <w:t>La UNIBOL Quechua es una institución de educación superior indígena en función de los intereses y necesidades de la Nación Quechua en el Estado Plurinacional Boliviano, estos intereses y necesidades son resaltados por las diversas organizaciones quechuas y sus representantes, especialmente dentro del Consejo Comunitario de la Universidad. Es propósito de las organizaciones quechuas, el contar en la Unibol Quechua, un instrumento de educación superior para formar a su gente de manera tecnológica y política, orientados a dar respuestas a los desafíos del presente, de fortalecer la Nación Quechua como articulador de las diversas naciones originarias que a su vez tengan la capacidad de responder a los desafíos de construcción del Estado plurinacional boliviano en base a soberanía productiva, alimentaria y tecnológica que nos garantice el Sumaj Kawsay de todas y todos los bolivianos.</w:t>
      </w:r>
    </w:p>
    <w:p>
      <w:pPr>
        <w:pStyle w:val="BodyText"/>
        <w:spacing w:before="1"/>
      </w:pPr>
    </w:p>
    <w:p>
      <w:pPr>
        <w:pStyle w:val="BodyText"/>
        <w:spacing w:before="1"/>
        <w:ind w:left="1082" w:right="846"/>
        <w:jc w:val="both"/>
      </w:pPr>
      <w:r>
        <w:rPr/>
        <w:t>Los fines de la Unibol, expresadas claramente tanto el decreto de creación como en los estatutos de la universidad, resaltan el rol de transformar el carácter colonial del Estado y de la Educación Superior con la formación de recursos humanos con</w:t>
      </w:r>
    </w:p>
    <w:p>
      <w:pPr>
        <w:spacing w:after="0"/>
        <w:jc w:val="both"/>
        <w:sectPr>
          <w:pgSz w:w="11910" w:h="16840"/>
          <w:pgMar w:header="0" w:footer="922" w:top="1320" w:bottom="1200" w:left="620" w:right="280"/>
        </w:sectPr>
      </w:pPr>
    </w:p>
    <w:p>
      <w:pPr>
        <w:pStyle w:val="BodyText"/>
        <w:spacing w:before="73"/>
        <w:ind w:left="1082" w:right="846"/>
        <w:jc w:val="both"/>
      </w:pPr>
      <w:r>
        <w:rPr/>
        <w:t>sentido comunitario, productivo e identidad cultural; De la misma manera el carácter orgánico de la universidad que articula la Universidad con los intereses, las necesidades de las comunidades de las organizaciones dela Nación Quechua. Sobre estas bases se ha trabajado en PEI 2016-2020, de manera participativa comunitaria, con todos los estamentos de la universidad y con la tutela de la Junta Comunitaria.</w:t>
      </w:r>
    </w:p>
    <w:p>
      <w:pPr>
        <w:pStyle w:val="BodyText"/>
      </w:pPr>
    </w:p>
    <w:p>
      <w:pPr>
        <w:pStyle w:val="BodyText"/>
        <w:spacing w:before="1"/>
        <w:ind w:left="1082" w:right="851"/>
        <w:jc w:val="both"/>
      </w:pPr>
      <w:r>
        <w:rPr/>
        <w:t>El alcance geográfico, se basa en la realidad de la Nación Quechua, hoy presente  en todo el Estado Plurinacional boliviano, no solo en los tres departamentos definidos formalmente como quechuas, sino más allá de ellos en todos los departamentos, especialmente en los municipios más productivos del departamento de Santa Cruz de donde provienen una cantidad significativa de</w:t>
      </w:r>
      <w:r>
        <w:rPr>
          <w:spacing w:val="-9"/>
        </w:rPr>
        <w:t> </w:t>
      </w:r>
      <w:r>
        <w:rPr/>
        <w:t>alumnos.</w:t>
      </w:r>
    </w:p>
    <w:p>
      <w:pPr>
        <w:pStyle w:val="BodyText"/>
        <w:spacing w:before="2"/>
      </w:pPr>
    </w:p>
    <w:p>
      <w:pPr>
        <w:pStyle w:val="BodyText"/>
        <w:spacing w:line="276" w:lineRule="auto" w:before="1"/>
        <w:ind w:left="1082" w:right="850"/>
        <w:jc w:val="both"/>
      </w:pPr>
      <w:r>
        <w:rPr/>
        <w:t>La territorialidad ancestral de la nación quechua, traspasa las fronteras nacionales, de hecho el Tawantinsuyu comprendía lo que actualmente son varios estados, la proyección de la Unibol Quechua es internacional. hoy en día las universidades del mundo llegan con sus ofertas académicas a cualquier rincón del mundo.</w:t>
      </w:r>
    </w:p>
    <w:p>
      <w:pPr>
        <w:pStyle w:val="BodyText"/>
        <w:spacing w:before="10"/>
        <w:rPr>
          <w:sz w:val="20"/>
        </w:rPr>
      </w:pPr>
    </w:p>
    <w:p>
      <w:pPr>
        <w:pStyle w:val="Heading3"/>
        <w:numPr>
          <w:ilvl w:val="1"/>
          <w:numId w:val="11"/>
        </w:numPr>
        <w:tabs>
          <w:tab w:pos="2085" w:val="left" w:leader="none"/>
          <w:tab w:pos="2086" w:val="left" w:leader="none"/>
        </w:tabs>
        <w:spacing w:line="240" w:lineRule="auto" w:before="0" w:after="0"/>
        <w:ind w:left="2085" w:right="0" w:hanging="721"/>
        <w:jc w:val="left"/>
      </w:pPr>
      <w:r>
        <w:rPr/>
        <w:t>FUNDAMENTACIÓN</w:t>
      </w:r>
    </w:p>
    <w:p>
      <w:pPr>
        <w:pStyle w:val="BodyText"/>
        <w:spacing w:line="278" w:lineRule="auto" w:before="101"/>
        <w:ind w:left="1082" w:right="855"/>
        <w:jc w:val="both"/>
      </w:pPr>
      <w:r>
        <w:rPr/>
        <w:t>La Universidad indígena boliviana “Casimiro Huanca” UNIBOL Quechua entre sus fundamentos básicos considera los siguientes aspectos:</w:t>
      </w:r>
    </w:p>
    <w:p>
      <w:pPr>
        <w:pStyle w:val="ListParagraph"/>
        <w:numPr>
          <w:ilvl w:val="0"/>
          <w:numId w:val="44"/>
        </w:numPr>
        <w:tabs>
          <w:tab w:pos="1802" w:val="left" w:leader="none"/>
        </w:tabs>
        <w:spacing w:line="240" w:lineRule="auto" w:before="195" w:after="0"/>
        <w:ind w:left="1802" w:right="0" w:hanging="360"/>
        <w:jc w:val="left"/>
        <w:rPr>
          <w:sz w:val="24"/>
        </w:rPr>
      </w:pPr>
      <w:r>
        <w:rPr>
          <w:sz w:val="24"/>
        </w:rPr>
        <w:t>Fundamento legal</w:t>
      </w:r>
      <w:r>
        <w:rPr>
          <w:spacing w:val="-2"/>
          <w:sz w:val="24"/>
        </w:rPr>
        <w:t> </w:t>
      </w:r>
      <w:r>
        <w:rPr>
          <w:sz w:val="24"/>
        </w:rPr>
        <w:t>normativo</w:t>
      </w:r>
    </w:p>
    <w:p>
      <w:pPr>
        <w:pStyle w:val="ListParagraph"/>
        <w:numPr>
          <w:ilvl w:val="0"/>
          <w:numId w:val="44"/>
        </w:numPr>
        <w:tabs>
          <w:tab w:pos="1802" w:val="left" w:leader="none"/>
        </w:tabs>
        <w:spacing w:line="240" w:lineRule="auto" w:before="22" w:after="0"/>
        <w:ind w:left="1802" w:right="0" w:hanging="360"/>
        <w:jc w:val="left"/>
        <w:rPr>
          <w:sz w:val="24"/>
        </w:rPr>
      </w:pPr>
      <w:r>
        <w:rPr>
          <w:sz w:val="24"/>
        </w:rPr>
        <w:t>Fundamento</w:t>
      </w:r>
      <w:r>
        <w:rPr>
          <w:spacing w:val="-4"/>
          <w:sz w:val="24"/>
        </w:rPr>
        <w:t> </w:t>
      </w:r>
      <w:r>
        <w:rPr>
          <w:sz w:val="24"/>
        </w:rPr>
        <w:t>filosófico</w:t>
      </w:r>
    </w:p>
    <w:p>
      <w:pPr>
        <w:pStyle w:val="ListParagraph"/>
        <w:numPr>
          <w:ilvl w:val="0"/>
          <w:numId w:val="44"/>
        </w:numPr>
        <w:tabs>
          <w:tab w:pos="1802" w:val="left" w:leader="none"/>
        </w:tabs>
        <w:spacing w:line="240" w:lineRule="auto" w:before="21" w:after="0"/>
        <w:ind w:left="1802" w:right="0" w:hanging="360"/>
        <w:jc w:val="left"/>
        <w:rPr>
          <w:sz w:val="24"/>
        </w:rPr>
      </w:pPr>
      <w:r>
        <w:rPr>
          <w:sz w:val="24"/>
        </w:rPr>
        <w:t>Fundamento</w:t>
      </w:r>
      <w:r>
        <w:rPr>
          <w:spacing w:val="-2"/>
          <w:sz w:val="24"/>
        </w:rPr>
        <w:t> </w:t>
      </w:r>
      <w:r>
        <w:rPr>
          <w:sz w:val="24"/>
        </w:rPr>
        <w:t>cultural-lingüístico</w:t>
      </w:r>
    </w:p>
    <w:p>
      <w:pPr>
        <w:pStyle w:val="ListParagraph"/>
        <w:numPr>
          <w:ilvl w:val="0"/>
          <w:numId w:val="44"/>
        </w:numPr>
        <w:tabs>
          <w:tab w:pos="1802" w:val="left" w:leader="none"/>
        </w:tabs>
        <w:spacing w:line="240" w:lineRule="auto" w:before="22" w:after="0"/>
        <w:ind w:left="1802" w:right="0" w:hanging="360"/>
        <w:jc w:val="left"/>
        <w:rPr>
          <w:sz w:val="24"/>
        </w:rPr>
      </w:pPr>
      <w:r>
        <w:rPr>
          <w:sz w:val="24"/>
        </w:rPr>
        <w:t>Fundamento</w:t>
      </w:r>
      <w:r>
        <w:rPr>
          <w:spacing w:val="-2"/>
          <w:sz w:val="24"/>
        </w:rPr>
        <w:t> </w:t>
      </w:r>
      <w:r>
        <w:rPr>
          <w:sz w:val="24"/>
        </w:rPr>
        <w:t>pedagógico</w:t>
      </w:r>
    </w:p>
    <w:p>
      <w:pPr>
        <w:pStyle w:val="BodyText"/>
        <w:spacing w:before="180"/>
        <w:ind w:left="1442"/>
        <w:jc w:val="both"/>
      </w:pPr>
      <w:r>
        <w:rPr/>
        <w:t>A continuación se describen cada aspecto de la fundamentación:</w:t>
      </w:r>
    </w:p>
    <w:p>
      <w:pPr>
        <w:pStyle w:val="ListParagraph"/>
        <w:numPr>
          <w:ilvl w:val="0"/>
          <w:numId w:val="45"/>
        </w:numPr>
        <w:tabs>
          <w:tab w:pos="1442" w:val="left" w:leader="none"/>
        </w:tabs>
        <w:spacing w:line="276" w:lineRule="auto" w:before="185" w:after="0"/>
        <w:ind w:left="1442" w:right="848" w:hanging="360"/>
        <w:jc w:val="both"/>
        <w:rPr>
          <w:sz w:val="24"/>
        </w:rPr>
      </w:pPr>
      <w:r>
        <w:rPr>
          <w:b/>
          <w:sz w:val="24"/>
        </w:rPr>
        <w:t>Fundamento normativo-legal: </w:t>
      </w:r>
      <w:r>
        <w:rPr>
          <w:sz w:val="24"/>
        </w:rPr>
        <w:t>Legalmente la UNIBOL tiene su fundamento en dos fuentes: a nivel internacional en los acuerdos establecidos a Convenio 169 de la OIT, la Declaración de las Naciones Unidas de los Derechos de los Pueblos Indígenas y otros que respaldan los derechos que tienen los pueblos indígenas de desarrollar y proyectar su educación propia. A nivel nacional se sustenta en la Constitución Política del Estado Plurinacional, la Ley Avelino Siñani-Elizardo Pérez, Ley de Derechos y Políticas Lingüísticas, ley 144 de Revolución Productiva Comunitaria Agropecuaria, Ley Contra el Racismo y Toda Forma de Discriminación, Ley de la madre Tierra, Ley de deslinde etc, y una serie de leyes que incumben a los pueblos Indígenas Originarios Campesinos</w:t>
      </w:r>
      <w:r>
        <w:rPr>
          <w:spacing w:val="-9"/>
          <w:sz w:val="24"/>
        </w:rPr>
        <w:t> </w:t>
      </w:r>
      <w:r>
        <w:rPr>
          <w:sz w:val="24"/>
        </w:rPr>
        <w:t>IOCs</w:t>
      </w:r>
    </w:p>
    <w:p>
      <w:pPr>
        <w:pStyle w:val="BodyText"/>
        <w:ind w:left="1442" w:right="851"/>
        <w:jc w:val="both"/>
      </w:pPr>
      <w:r>
        <w:rPr/>
        <w:t>El Decreto Supremo Nº 29664 constituye el marco legal que garantiza la creación y el funcionamiento de la UNIBOL Quechua en el territorio del Estado Plurinacional de Bolivia. A nivel interno viene a ser el estatuto de la UNIBOL la que establece las normas de gobierno de la Universidad. La Junta Comunitaria es la máxima Instancia de gobierno de la Unibol</w:t>
      </w:r>
      <w:r>
        <w:rPr>
          <w:spacing w:val="-11"/>
        </w:rPr>
        <w:t> </w:t>
      </w:r>
      <w:r>
        <w:rPr/>
        <w:t>Quechua.</w:t>
      </w:r>
    </w:p>
    <w:p>
      <w:pPr>
        <w:pStyle w:val="BodyText"/>
        <w:ind w:left="1442" w:right="857"/>
        <w:jc w:val="both"/>
      </w:pPr>
      <w:r>
        <w:rPr/>
        <w:t>El presente PEI se ha trabajado de manera participativa con todas las instancias de la Junta Comunitaria como parte del gobierno comunitario que define la vida de la Universidad.</w:t>
      </w:r>
    </w:p>
    <w:p>
      <w:pPr>
        <w:spacing w:after="0"/>
        <w:jc w:val="both"/>
        <w:sectPr>
          <w:pgSz w:w="11910" w:h="16840"/>
          <w:pgMar w:header="0" w:footer="922" w:top="1320" w:bottom="1200" w:left="620" w:right="280"/>
        </w:sectPr>
      </w:pPr>
    </w:p>
    <w:p>
      <w:pPr>
        <w:pStyle w:val="ListParagraph"/>
        <w:numPr>
          <w:ilvl w:val="0"/>
          <w:numId w:val="45"/>
        </w:numPr>
        <w:tabs>
          <w:tab w:pos="1510" w:val="left" w:leader="none"/>
        </w:tabs>
        <w:spacing w:line="276" w:lineRule="auto" w:before="76" w:after="0"/>
        <w:ind w:left="1442" w:right="849" w:hanging="360"/>
        <w:jc w:val="both"/>
        <w:rPr>
          <w:sz w:val="24"/>
        </w:rPr>
      </w:pPr>
      <w:r>
        <w:rPr/>
        <w:tab/>
      </w:r>
      <w:r>
        <w:rPr>
          <w:b/>
          <w:sz w:val="24"/>
        </w:rPr>
        <w:t>Fundamento filosófico o cosmovisión: </w:t>
      </w:r>
      <w:r>
        <w:rPr>
          <w:sz w:val="24"/>
        </w:rPr>
        <w:t>La base filosófica de esta universidad ms bien está está relacionado con la Visión de la Pacha de los Runas Quechuas, que más que filosofía es la visión del Cosmos Pacha o Cosmovisión, sus principios y valores sobre la que está basada la vida de los Runas en la Pacha donde vivimos y de donde provenimos, es decir que el primer principio es la vida de nuestra Pacha, Pachajkawsaynin ñawpajtaraj y dentro de ella y posterior Runajkawsaynin qjepanta. Pachajkawsaynimpi tukuyima kawsayniyuj Todo en la vida de la Pacha tiene vida y todo lo que tiene vida tiene energía. Todo en la vida de la Pacha tiene relación con todo y todos somos interdependientes. La vida de la Pacha tiene vida macro y vida micro en diversas dimensiones. Los runas también tenemos vida macro y micro y somos dependientes del resto de los seres vivos de la</w:t>
      </w:r>
      <w:r>
        <w:rPr>
          <w:spacing w:val="-3"/>
          <w:sz w:val="24"/>
        </w:rPr>
        <w:t> </w:t>
      </w:r>
      <w:r>
        <w:rPr>
          <w:sz w:val="24"/>
        </w:rPr>
        <w:t>Pacha.</w:t>
      </w:r>
    </w:p>
    <w:p>
      <w:pPr>
        <w:pStyle w:val="BodyText"/>
        <w:spacing w:line="276" w:lineRule="auto" w:before="1"/>
        <w:ind w:left="1442" w:right="847"/>
        <w:jc w:val="both"/>
      </w:pPr>
      <w:r>
        <w:rPr/>
        <w:t>Las maneras de vivir ver el mundo o visión cósmica de la realidad y el mundo. La comunidad cósmica natural está relacionado interrelacionado e intrarrelacionado como también combinado, intercombinado e intracombinado las energías y materias fluyentes entre todos los seres que las habitan, que el sentir, pensar sea lo mismo que el vivir o viceversa a eso le llamamos “el criar y saber criar”. En la cual existen leyes fundamentales y naturales de coexistencia entre los habitantes de la comunidad natural. Estas leyes hace que vivamos de manera recíproca y complementaria al considerar en la convivencia armónica -Sumaj Kawsay- como ser: todo tiene vida (sama), todo es cíclico (kutiy), todo es reciprocidad y complementariedad (ayni), todo es comunidad (ayllu) y finalmente vivimos en nuestra Pacha y para la Pacha.</w:t>
      </w:r>
    </w:p>
    <w:p>
      <w:pPr>
        <w:pStyle w:val="ListParagraph"/>
        <w:numPr>
          <w:ilvl w:val="0"/>
          <w:numId w:val="45"/>
        </w:numPr>
        <w:tabs>
          <w:tab w:pos="1442" w:val="left" w:leader="none"/>
        </w:tabs>
        <w:spacing w:line="276" w:lineRule="auto" w:before="1" w:after="0"/>
        <w:ind w:left="1442" w:right="847" w:hanging="360"/>
        <w:jc w:val="both"/>
        <w:rPr>
          <w:sz w:val="24"/>
        </w:rPr>
      </w:pPr>
      <w:r>
        <w:rPr>
          <w:b/>
          <w:sz w:val="24"/>
        </w:rPr>
        <w:t>Fundamento cultural- lingüístico: </w:t>
      </w:r>
      <w:r>
        <w:rPr>
          <w:sz w:val="24"/>
        </w:rPr>
        <w:t>La universidad adopta como fundamento cultural-lingüístico: el origen, la vida, y desarrollo de la civilización de </w:t>
      </w:r>
      <w:r>
        <w:rPr>
          <w:spacing w:val="2"/>
          <w:sz w:val="24"/>
        </w:rPr>
        <w:t>la </w:t>
      </w:r>
      <w:r>
        <w:rPr>
          <w:sz w:val="24"/>
        </w:rPr>
        <w:t>cultura quechua. Como institución trabajará en la recuperación y fortalecimiento de esta cultura en términos de identidad propia e interculturalidad. La construcción de su propio porvenir a la luz de su propia identidad cultural y lingüística, fundamentada en la cosmovisión que tiene la Nación Quechua como parte de la comprensión del mundo como un todo completo e</w:t>
      </w:r>
      <w:r>
        <w:rPr>
          <w:spacing w:val="3"/>
          <w:sz w:val="24"/>
        </w:rPr>
        <w:t> </w:t>
      </w:r>
      <w:r>
        <w:rPr>
          <w:sz w:val="24"/>
        </w:rPr>
        <w:t>integral.</w:t>
      </w:r>
    </w:p>
    <w:p>
      <w:pPr>
        <w:pStyle w:val="BodyText"/>
        <w:spacing w:line="276" w:lineRule="auto" w:before="201"/>
        <w:ind w:left="1442" w:right="847"/>
        <w:jc w:val="both"/>
      </w:pPr>
      <w:r>
        <w:rPr/>
        <w:t>La universidad en el desarrollo de sus actividades tomará en cuenta los aspectos de revalorización de saberes, tecnologías y conocimientos ancestrales y la construcción de nuevos saberes y tecnologías. Cultivas y criar actitudes, valores, estrategias y modos de vida comunitaria basados en principios y valores de la cultura quechua.</w:t>
      </w:r>
    </w:p>
    <w:p>
      <w:pPr>
        <w:pStyle w:val="BodyText"/>
        <w:spacing w:line="276" w:lineRule="auto" w:before="198"/>
        <w:ind w:left="1442" w:right="846"/>
        <w:jc w:val="both"/>
      </w:pPr>
      <w:r>
        <w:rPr/>
        <w:t>El desarrollo de la lengua y la vida de la cultura quechua serán primordial en las actividades cotidianas de la institución como en el procesos de aprendizajes comunitarios, de convivencia de acuerdo a la vida de los quechuas y en el marco de la interculturalidad, plurilingüismo y pluriculturalidad indígena. Procesos de aprendizaje enseñanza comunitaria, que se inicia en las mismas familias y comunidades, de esta manera en estas instancias institucionales se debe consolidar en el fluidez de la escritura y habla quechua.</w:t>
      </w:r>
    </w:p>
    <w:p>
      <w:pPr>
        <w:spacing w:after="0" w:line="276" w:lineRule="auto"/>
        <w:jc w:val="both"/>
        <w:sectPr>
          <w:pgSz w:w="11910" w:h="16840"/>
          <w:pgMar w:header="0" w:footer="922" w:top="1320" w:bottom="1200" w:left="620" w:right="280"/>
        </w:sectPr>
      </w:pPr>
    </w:p>
    <w:p>
      <w:pPr>
        <w:pStyle w:val="BodyText"/>
        <w:spacing w:line="276" w:lineRule="auto" w:before="76"/>
        <w:ind w:left="1442" w:right="970"/>
      </w:pPr>
      <w:r>
        <w:rPr/>
        <w:t>El desarrollo curricular como en la defensa de los trabajos finales se realizara en el idioma quechua. De la misma manera las actividades administrativas institucionales, asimismo la comunicación diaria estará orientada al fortalecimiento lingüístico quechua desde todas las instancias de la Comunidad educativa UNIBOL Quechua.</w:t>
      </w:r>
    </w:p>
    <w:p>
      <w:pPr>
        <w:pStyle w:val="BodyText"/>
        <w:spacing w:line="276" w:lineRule="auto" w:before="201"/>
        <w:ind w:left="1442" w:right="848"/>
        <w:jc w:val="both"/>
      </w:pPr>
      <w:r>
        <w:rPr/>
        <w:t>Un paso para la descolonización en la Unibol Quechua, es la descolonización epistemológica y para ello un primer paso es la recuperación de la episteme propia, en el caso de nuestras culturas, vienen a ser las formas de vida y de expresión, del cual el idioma hablado es solo uno de ellos. </w:t>
      </w:r>
      <w:r>
        <w:rPr>
          <w:spacing w:val="2"/>
        </w:rPr>
        <w:t>La </w:t>
      </w:r>
      <w:r>
        <w:rPr/>
        <w:t>lengua propia quechua, tiene su propio sentido en la comunidad, pero cambia de sentido fuera de la comunidad entonces el desafío de la Unibol es mantener el sentido y la dimensión comunitaria de la lengua quechua. </w:t>
      </w:r>
      <w:r>
        <w:rPr>
          <w:spacing w:val="3"/>
        </w:rPr>
        <w:t>La </w:t>
      </w:r>
      <w:r>
        <w:rPr/>
        <w:t>epistemología tiene que ver con la raíz conceptual de las palabras y el mundo académico occidental ha construido sus conocimientos en base a su lengua y su epistemología propia que luego ha sido trasmitida a otras lenguas y otras culturas. Normalmente la educación regular y académica nos orientan hacia epistemes del norte como la griega, latina o</w:t>
      </w:r>
      <w:r>
        <w:rPr>
          <w:spacing w:val="9"/>
        </w:rPr>
        <w:t> </w:t>
      </w:r>
      <w:r>
        <w:rPr/>
        <w:t>el</w:t>
      </w:r>
      <w:r>
        <w:rPr>
          <w:spacing w:val="8"/>
        </w:rPr>
        <w:t> </w:t>
      </w:r>
      <w:r>
        <w:rPr/>
        <w:t>inglés</w:t>
      </w:r>
      <w:r>
        <w:rPr>
          <w:spacing w:val="9"/>
        </w:rPr>
        <w:t> </w:t>
      </w:r>
      <w:r>
        <w:rPr/>
        <w:t>hoy</w:t>
      </w:r>
      <w:r>
        <w:rPr>
          <w:spacing w:val="6"/>
        </w:rPr>
        <w:t> </w:t>
      </w:r>
      <w:r>
        <w:rPr/>
        <w:t>en</w:t>
      </w:r>
      <w:r>
        <w:rPr>
          <w:spacing w:val="9"/>
        </w:rPr>
        <w:t> </w:t>
      </w:r>
      <w:r>
        <w:rPr/>
        <w:t>día,</w:t>
      </w:r>
      <w:r>
        <w:rPr>
          <w:spacing w:val="11"/>
        </w:rPr>
        <w:t> </w:t>
      </w:r>
      <w:r>
        <w:rPr/>
        <w:t>pero</w:t>
      </w:r>
      <w:r>
        <w:rPr>
          <w:spacing w:val="9"/>
        </w:rPr>
        <w:t> </w:t>
      </w:r>
      <w:r>
        <w:rPr/>
        <w:t>en</w:t>
      </w:r>
      <w:r>
        <w:rPr>
          <w:spacing w:val="9"/>
        </w:rPr>
        <w:t> </w:t>
      </w:r>
      <w:r>
        <w:rPr/>
        <w:t>nuestro</w:t>
      </w:r>
      <w:r>
        <w:rPr>
          <w:spacing w:val="9"/>
        </w:rPr>
        <w:t> </w:t>
      </w:r>
      <w:r>
        <w:rPr/>
        <w:t>caso,</w:t>
      </w:r>
      <w:r>
        <w:rPr>
          <w:spacing w:val="14"/>
        </w:rPr>
        <w:t> </w:t>
      </w:r>
      <w:r>
        <w:rPr/>
        <w:t>nuestra</w:t>
      </w:r>
      <w:r>
        <w:rPr>
          <w:spacing w:val="9"/>
        </w:rPr>
        <w:t> </w:t>
      </w:r>
      <w:r>
        <w:rPr/>
        <w:t>raíz,</w:t>
      </w:r>
      <w:r>
        <w:rPr>
          <w:spacing w:val="9"/>
        </w:rPr>
        <w:t> </w:t>
      </w:r>
      <w:r>
        <w:rPr/>
        <w:t>más</w:t>
      </w:r>
      <w:r>
        <w:rPr>
          <w:spacing w:val="8"/>
        </w:rPr>
        <w:t> </w:t>
      </w:r>
      <w:r>
        <w:rPr/>
        <w:t>bien</w:t>
      </w:r>
      <w:r>
        <w:rPr>
          <w:spacing w:val="10"/>
        </w:rPr>
        <w:t> </w:t>
      </w:r>
      <w:r>
        <w:rPr/>
        <w:t>es</w:t>
      </w:r>
      <w:r>
        <w:rPr>
          <w:spacing w:val="9"/>
        </w:rPr>
        <w:t> </w:t>
      </w:r>
      <w:r>
        <w:rPr/>
        <w:t>el</w:t>
      </w:r>
      <w:r>
        <w:rPr>
          <w:spacing w:val="8"/>
        </w:rPr>
        <w:t> </w:t>
      </w:r>
      <w:r>
        <w:rPr/>
        <w:t>Pukina</w:t>
      </w:r>
    </w:p>
    <w:p>
      <w:pPr>
        <w:pStyle w:val="BodyText"/>
        <w:spacing w:line="276" w:lineRule="auto" w:before="1"/>
        <w:ind w:left="1442" w:right="848"/>
        <w:jc w:val="both"/>
      </w:pPr>
      <w:r>
        <w:rPr/>
        <w:t>o la lengua Uru, pero la mayoría ya no sabemos de esas raíces y lo que es peor, que el problema no es solo de lengua, sino de vivencia comunitaria, porque comunitarias son nuestras culturas ancestrales, entonces la práctica de formas comunitarias de vida de donde saldrán las expresiones comunitarias quechuas. Nuestras culturas han tenido muchas formas de expresión y también muchas formas de escritura de documentación, hoy ignoradas por muchos de nosotros mismos.</w:t>
      </w:r>
    </w:p>
    <w:p>
      <w:pPr>
        <w:pStyle w:val="BodyText"/>
        <w:spacing w:line="276" w:lineRule="auto" w:before="200"/>
        <w:ind w:left="1442" w:right="846"/>
        <w:jc w:val="both"/>
      </w:pPr>
      <w:r>
        <w:rPr/>
        <w:t>La lengua, el idioma, es solo una de las expresiones de la cultura, sin embargo la colonización se ha hecho valer su idioma y en base a su episteme colonial traída de Europa que todavía pervive hasta nuestros días, ha sometido a nuestras culturas. La descolonización es un proceso complejo, en lo que se refiere a la lengua, implica la recuperación de nuestra propia raíz cultural territorial, la recuperación y fortalecimiento de nuestro propio idioma Runa Simi o quechua, tiene que relacionarse también con el fortalecimiento de nuestra propia cultura comunitaria, de nuestra propia visión de la vida y de las practicas comunitarias de vida. A partir de esta fortaleza, cultivar el espíritu del idioma quechua, de manera viva, desde cada cultura territorial Quechua, entonces estará directamente vinculada al ejercicio de la territorialidad cultural y será la expresión del conjunto de las comunidades.</w:t>
      </w:r>
    </w:p>
    <w:p>
      <w:pPr>
        <w:pStyle w:val="BodyText"/>
        <w:spacing w:line="276" w:lineRule="auto" w:before="200"/>
        <w:ind w:left="1442" w:right="847"/>
        <w:jc w:val="both"/>
      </w:pPr>
      <w:r>
        <w:rPr/>
        <w:t>Este proceso debe ser uno de los básicos para poder llevar adelante los procesos de descolonización, de aprendizaje de sabidurías, conocimientos, tecnologías de la cultura Quechua. Runa Simi lengua Runa, el ser humano integro, esta es la base de nuestra lengua, la raíz que todos y todas, será la guía en las prácticas académicas cotidianas de la Unibol Quechua. La lectura y la escritura</w:t>
      </w:r>
      <w:r>
        <w:rPr>
          <w:spacing w:val="26"/>
        </w:rPr>
        <w:t> </w:t>
      </w:r>
      <w:r>
        <w:rPr/>
        <w:t>en</w:t>
      </w:r>
      <w:r>
        <w:rPr>
          <w:spacing w:val="27"/>
        </w:rPr>
        <w:t> </w:t>
      </w:r>
      <w:r>
        <w:rPr/>
        <w:t>quechua,</w:t>
      </w:r>
      <w:r>
        <w:rPr>
          <w:spacing w:val="25"/>
        </w:rPr>
        <w:t> </w:t>
      </w:r>
      <w:r>
        <w:rPr/>
        <w:t>deberían</w:t>
      </w:r>
      <w:r>
        <w:rPr>
          <w:spacing w:val="27"/>
        </w:rPr>
        <w:t> </w:t>
      </w:r>
      <w:r>
        <w:rPr/>
        <w:t>ser</w:t>
      </w:r>
      <w:r>
        <w:rPr>
          <w:spacing w:val="25"/>
        </w:rPr>
        <w:t> </w:t>
      </w:r>
      <w:r>
        <w:rPr/>
        <w:t>las</w:t>
      </w:r>
      <w:r>
        <w:rPr>
          <w:spacing w:val="27"/>
        </w:rPr>
        <w:t> </w:t>
      </w:r>
      <w:r>
        <w:rPr/>
        <w:t>bases</w:t>
      </w:r>
      <w:r>
        <w:rPr>
          <w:spacing w:val="27"/>
        </w:rPr>
        <w:t> </w:t>
      </w:r>
      <w:r>
        <w:rPr/>
        <w:t>para</w:t>
      </w:r>
      <w:r>
        <w:rPr>
          <w:spacing w:val="27"/>
        </w:rPr>
        <w:t> </w:t>
      </w:r>
      <w:r>
        <w:rPr/>
        <w:t>llevar</w:t>
      </w:r>
      <w:r>
        <w:rPr>
          <w:spacing w:val="25"/>
        </w:rPr>
        <w:t> </w:t>
      </w:r>
      <w:r>
        <w:rPr/>
        <w:t>adelante</w:t>
      </w:r>
      <w:r>
        <w:rPr>
          <w:spacing w:val="27"/>
        </w:rPr>
        <w:t> </w:t>
      </w:r>
      <w:r>
        <w:rPr/>
        <w:t>los</w:t>
      </w:r>
      <w:r>
        <w:rPr>
          <w:spacing w:val="27"/>
        </w:rPr>
        <w:t> </w:t>
      </w:r>
      <w:r>
        <w:rPr/>
        <w:t>procesos</w:t>
      </w:r>
    </w:p>
    <w:p>
      <w:pPr>
        <w:spacing w:after="0" w:line="276" w:lineRule="auto"/>
        <w:jc w:val="both"/>
        <w:sectPr>
          <w:pgSz w:w="11910" w:h="16840"/>
          <w:pgMar w:header="0" w:footer="922" w:top="1320" w:bottom="1200" w:left="620" w:right="280"/>
        </w:sectPr>
      </w:pPr>
    </w:p>
    <w:p>
      <w:pPr>
        <w:pStyle w:val="BodyText"/>
        <w:spacing w:line="276" w:lineRule="auto" w:before="76"/>
        <w:ind w:left="1442" w:right="847"/>
        <w:jc w:val="both"/>
      </w:pPr>
      <w:r>
        <w:rPr/>
        <w:t>de aprendizaje comunitario, pero al mismo tiempo debemos entender que los Runas no hemos tenido solamente un solo lenguaje, ni un solo tipo de escritura o codificaciones, los runas han tenido pluriversas formas de lenguaje hablado y simbólico, estas también será tarea de recuperarlas. El alfabeto latino es prestado, además expresa solo una dimensión mientras que la realidad que es pluridimensional comunitaria.</w:t>
      </w:r>
    </w:p>
    <w:p>
      <w:pPr>
        <w:pStyle w:val="ListParagraph"/>
        <w:numPr>
          <w:ilvl w:val="0"/>
          <w:numId w:val="45"/>
        </w:numPr>
        <w:tabs>
          <w:tab w:pos="1510" w:val="left" w:leader="none"/>
        </w:tabs>
        <w:spacing w:line="276" w:lineRule="auto" w:before="200" w:after="0"/>
        <w:ind w:left="1442" w:right="846" w:hanging="360"/>
        <w:jc w:val="both"/>
        <w:rPr>
          <w:sz w:val="24"/>
        </w:rPr>
      </w:pPr>
      <w:r>
        <w:rPr/>
        <w:tab/>
      </w:r>
      <w:r>
        <w:rPr>
          <w:b/>
          <w:sz w:val="24"/>
        </w:rPr>
        <w:t>Fundamento pedagógico comunitario </w:t>
      </w:r>
      <w:r>
        <w:rPr>
          <w:sz w:val="24"/>
        </w:rPr>
        <w:t>quechua: Por cuanto es Universidad Comunitaria Descolonizadora Productiva, la pedagogía también será comunitaria, descolonizadora productiva. El fundamento comunitario quechua, proviene de su visión del Cosmos Pacha de la Nación Quechua, dentro de la cuál todo en la realidad proviene de la Madre Naturaleza Cósmica y dentro de ella todo tiene vida y todo es interdependiente, por tanto toda la vida de la naturaleza Pacha es integral comunitaria, es recíproca y complementaria y los Runas, solo aprendemos de ella para poder reproducir en las estructuras sociales. Esta  visión es a su vez la base de las pedagogías comunitarias que se deben aplicar en la Unibol Quechua y esta es la que le diferencia de cualquier otra universidad. La característica de esta pedagogía comunitaria quechua Ayllu es de acción integral Ayni, pluricultural,</w:t>
      </w:r>
      <w:r>
        <w:rPr>
          <w:spacing w:val="-1"/>
          <w:sz w:val="24"/>
        </w:rPr>
        <w:t> </w:t>
      </w:r>
      <w:r>
        <w:rPr>
          <w:sz w:val="24"/>
        </w:rPr>
        <w:t>pluriversal.</w:t>
      </w:r>
    </w:p>
    <w:p>
      <w:pPr>
        <w:pStyle w:val="BodyText"/>
        <w:spacing w:before="7"/>
        <w:rPr>
          <w:sz w:val="27"/>
        </w:rPr>
      </w:pPr>
    </w:p>
    <w:p>
      <w:pPr>
        <w:pStyle w:val="BodyText"/>
        <w:spacing w:line="276" w:lineRule="auto" w:before="1"/>
        <w:ind w:left="1442" w:right="849"/>
        <w:jc w:val="both"/>
      </w:pPr>
      <w:r>
        <w:rPr/>
        <w:t>Lo pedagógico comunitario, debe estar basado en la comunidad integral Ayllu, que no solo interpreta en el plano social, sino también en el natural, territorial, social, político, económico, tecnológico etc. Eso quiere decir que los procesos de aprendizaje no son procesos cognitivos individuales ni aislados, más bien son sociales comunitarios e integrales de beneficio comunitario, además enraizados en la territorialidad de cada cultura. En este caso la Comunidad de la Unibol Quechua, conforma una comunidad de Educación Superior Indígena, enraizada en las territorialidades de los pueblos y culturas de la Nación Quechua.</w:t>
      </w:r>
    </w:p>
    <w:p>
      <w:pPr>
        <w:pStyle w:val="BodyText"/>
        <w:spacing w:before="6"/>
        <w:rPr>
          <w:sz w:val="27"/>
        </w:rPr>
      </w:pPr>
    </w:p>
    <w:p>
      <w:pPr>
        <w:pStyle w:val="BodyText"/>
        <w:spacing w:line="276" w:lineRule="auto" w:before="1"/>
        <w:ind w:left="1442" w:right="848"/>
        <w:jc w:val="both"/>
      </w:pPr>
      <w:r>
        <w:rPr/>
        <w:t>La pedagogía comunitaria será descolonizadora en la medida que logre alcanzar uno de los fines en la creación de la Unibol, como es transformar el carácter colonial del Estado y de la educación superior y esas bases se encuentran en la experiencia histórica de nuestros pueblos y culturas y en la creatividad con que asume la modernidad y los desafíos de cambio del presente y futuro. Esta tarea es práctica y la pedagogía comunitaria descolonizadora también es práctica, estará orientada a deconstruir los viejos modelos estructurales y generar nuevos modelos comunitarios de Estado, de sociedad, de educación etc. y de vida comunitaria.</w:t>
      </w:r>
    </w:p>
    <w:p>
      <w:pPr>
        <w:pStyle w:val="BodyText"/>
        <w:spacing w:before="8"/>
        <w:rPr>
          <w:sz w:val="27"/>
        </w:rPr>
      </w:pPr>
    </w:p>
    <w:p>
      <w:pPr>
        <w:pStyle w:val="BodyText"/>
        <w:spacing w:line="276" w:lineRule="auto" w:before="1"/>
        <w:ind w:left="1442" w:right="848"/>
        <w:jc w:val="both"/>
      </w:pPr>
      <w:r>
        <w:rPr/>
        <w:t>Estos son procesos vivenciales comunitarios de sabidurías, por un lado que haga posible llegar a alcanzar el ser Runa dentro de la comunidad, dicho en quechua sería como un camino de la sabiduría para alcanzar a ser seres humanos íntegros, Runakanapaj, dentro y en función de la comunidad y por el camino que nos han enseñado nuestros ancestros el Kjapajñan, el camino de las sabidurías</w:t>
      </w:r>
    </w:p>
    <w:p>
      <w:pPr>
        <w:spacing w:after="0" w:line="276" w:lineRule="auto"/>
        <w:jc w:val="both"/>
        <w:sectPr>
          <w:pgSz w:w="11910" w:h="16840"/>
          <w:pgMar w:header="0" w:footer="922" w:top="1320" w:bottom="1200" w:left="620" w:right="280"/>
        </w:sectPr>
      </w:pPr>
    </w:p>
    <w:p>
      <w:pPr>
        <w:pStyle w:val="BodyText"/>
        <w:spacing w:line="276" w:lineRule="auto" w:before="76"/>
        <w:ind w:left="1442" w:right="850"/>
        <w:jc w:val="both"/>
      </w:pPr>
      <w:r>
        <w:rPr/>
        <w:t>de las grandes virtudes. En ese camino debe realizarse los procesos pedagógicos y de aprendizaje de la Universidad quechua, esto quiere decir que no es solamente el proceso de enseñanza aprendizaje de aula, que en realidad viene a ser un modelo occidental de la educación regular curricular; los procesos de sabidurías comunitarias se llevan dentro de la vida del territorio comunitario, en sus relaciones sociales, en sus producciones, en sus trabajos, en su organización, sus diversos ciclos de vida, ritos, desafíos, problemas, potencialidades, virtudes, necesidades, etc. que tiene la vida de la</w:t>
      </w:r>
      <w:r>
        <w:rPr>
          <w:spacing w:val="-16"/>
        </w:rPr>
        <w:t> </w:t>
      </w:r>
      <w:r>
        <w:rPr/>
        <w:t>comunidad.</w:t>
      </w:r>
    </w:p>
    <w:p>
      <w:pPr>
        <w:pStyle w:val="BodyText"/>
        <w:spacing w:before="9"/>
        <w:rPr>
          <w:sz w:val="27"/>
        </w:rPr>
      </w:pPr>
    </w:p>
    <w:p>
      <w:pPr>
        <w:pStyle w:val="BodyText"/>
        <w:spacing w:line="276" w:lineRule="auto"/>
        <w:ind w:left="1442" w:right="844"/>
        <w:jc w:val="both"/>
      </w:pPr>
      <w:r>
        <w:rPr/>
        <w:t>Es esta riqueza de la vida que tiene dimensiones pluriversas y no solamente universales, y la complejidad es saber conjuncionar perspectivas diversas dentro de la comunidad, y hacer posible en la interacción recíproca y complementaria, generar nuevos resultados que sean de beneficio común comunitario. El desafío de nuestra Yachayllajta es justamente generar las metodologías, las tecnologías y la pedagogía para hacer posible otra realidad comunitaria pluricultural y productiva para el Sumaj</w:t>
      </w:r>
      <w:r>
        <w:rPr>
          <w:spacing w:val="-2"/>
        </w:rPr>
        <w:t> </w:t>
      </w:r>
      <w:r>
        <w:rPr/>
        <w:t>Kawsay.</w:t>
      </w:r>
    </w:p>
    <w:p>
      <w:pPr>
        <w:pStyle w:val="BodyText"/>
        <w:spacing w:before="5"/>
        <w:rPr>
          <w:sz w:val="27"/>
        </w:rPr>
      </w:pPr>
    </w:p>
    <w:p>
      <w:pPr>
        <w:pStyle w:val="ListParagraph"/>
        <w:numPr>
          <w:ilvl w:val="0"/>
          <w:numId w:val="45"/>
        </w:numPr>
        <w:tabs>
          <w:tab w:pos="1442" w:val="left" w:leader="none"/>
        </w:tabs>
        <w:spacing w:line="276" w:lineRule="auto" w:before="0" w:after="0"/>
        <w:ind w:left="1442" w:right="847" w:hanging="360"/>
        <w:jc w:val="both"/>
        <w:rPr>
          <w:sz w:val="24"/>
        </w:rPr>
      </w:pPr>
      <w:r>
        <w:rPr>
          <w:sz w:val="24"/>
        </w:rPr>
        <w:t>Fundamento territorial En esta parte vale aclarar que las fronteras geopolíticas establecidas por los estados nacionales para la nación quechua, no corresponden a su la visión quechua de territorialidad, sin embargo se toma como referencia de lo que va a ser el radio de acción territorial de la Unibol y del planteamiento del PEI los tres departamentos con presencia histórica quechua como son Cochabamba, Chuquisaca y Potosí y aquellos que cobijan islas culturales o son efecto de sus desplazamientos históricos como son los valles del norte de La Paz y yungas del sur, además de todo el Norte , valles mesotérmicos y centro de Santa</w:t>
      </w:r>
      <w:r>
        <w:rPr>
          <w:spacing w:val="-5"/>
          <w:sz w:val="24"/>
        </w:rPr>
        <w:t> </w:t>
      </w:r>
      <w:r>
        <w:rPr>
          <w:sz w:val="24"/>
        </w:rPr>
        <w:t>Cruz.</w:t>
      </w:r>
    </w:p>
    <w:p>
      <w:pPr>
        <w:pStyle w:val="BodyText"/>
        <w:rPr>
          <w:sz w:val="20"/>
        </w:rPr>
      </w:pPr>
    </w:p>
    <w:p>
      <w:pPr>
        <w:pStyle w:val="BodyText"/>
        <w:spacing w:before="1"/>
        <w:rPr>
          <w:sz w:val="25"/>
        </w:rPr>
      </w:pPr>
      <w:r>
        <w:rPr/>
        <w:drawing>
          <wp:anchor distT="0" distB="0" distL="0" distR="0" allowOverlap="1" layoutInCell="1" locked="0" behindDoc="0" simplePos="0" relativeHeight="8">
            <wp:simplePos x="0" y="0"/>
            <wp:positionH relativeFrom="page">
              <wp:posOffset>1651000</wp:posOffset>
            </wp:positionH>
            <wp:positionV relativeFrom="paragraph">
              <wp:posOffset>208101</wp:posOffset>
            </wp:positionV>
            <wp:extent cx="3721847" cy="3067812"/>
            <wp:effectExtent l="0" t="0" r="0" b="0"/>
            <wp:wrapTopAndBottom/>
            <wp:docPr id="3" name="image18.jpeg"/>
            <wp:cNvGraphicFramePr>
              <a:graphicFrameLocks noChangeAspect="1"/>
            </wp:cNvGraphicFramePr>
            <a:graphic>
              <a:graphicData uri="http://schemas.openxmlformats.org/drawingml/2006/picture">
                <pic:pic>
                  <pic:nvPicPr>
                    <pic:cNvPr id="4" name="image18.jpeg"/>
                    <pic:cNvPicPr/>
                  </pic:nvPicPr>
                  <pic:blipFill>
                    <a:blip r:embed="rId23" cstate="print"/>
                    <a:stretch>
                      <a:fillRect/>
                    </a:stretch>
                  </pic:blipFill>
                  <pic:spPr>
                    <a:xfrm>
                      <a:off x="0" y="0"/>
                      <a:ext cx="3721847" cy="3067812"/>
                    </a:xfrm>
                    <a:prstGeom prst="rect">
                      <a:avLst/>
                    </a:prstGeom>
                  </pic:spPr>
                </pic:pic>
              </a:graphicData>
            </a:graphic>
          </wp:anchor>
        </w:drawing>
      </w:r>
    </w:p>
    <w:p>
      <w:pPr>
        <w:spacing w:after="0"/>
        <w:rPr>
          <w:sz w:val="25"/>
        </w:rPr>
        <w:sectPr>
          <w:pgSz w:w="11910" w:h="16840"/>
          <w:pgMar w:header="0" w:footer="922" w:top="1320" w:bottom="1200" w:left="620" w:right="280"/>
        </w:sectPr>
      </w:pPr>
    </w:p>
    <w:p>
      <w:pPr>
        <w:pStyle w:val="BodyText"/>
        <w:spacing w:before="3"/>
        <w:rPr>
          <w:sz w:val="17"/>
        </w:rPr>
      </w:pPr>
    </w:p>
    <w:p>
      <w:pPr>
        <w:pStyle w:val="Heading3"/>
        <w:numPr>
          <w:ilvl w:val="0"/>
          <w:numId w:val="11"/>
        </w:numPr>
        <w:tabs>
          <w:tab w:pos="1533" w:val="left" w:leader="none"/>
          <w:tab w:pos="1534" w:val="left" w:leader="none"/>
        </w:tabs>
        <w:spacing w:line="240" w:lineRule="auto" w:before="92" w:after="0"/>
        <w:ind w:left="1533" w:right="0" w:hanging="452"/>
        <w:jc w:val="left"/>
      </w:pPr>
      <w:r>
        <w:rPr/>
        <w:t>MARCO ESTRATÉGICO DEL</w:t>
      </w:r>
      <w:r>
        <w:rPr>
          <w:spacing w:val="-1"/>
        </w:rPr>
        <w:t> </w:t>
      </w:r>
      <w:r>
        <w:rPr/>
        <w:t>PEI</w:t>
      </w:r>
    </w:p>
    <w:p>
      <w:pPr>
        <w:pStyle w:val="BodyText"/>
        <w:spacing w:before="3"/>
        <w:rPr>
          <w:b/>
        </w:rPr>
      </w:pPr>
    </w:p>
    <w:p>
      <w:pPr>
        <w:pStyle w:val="ListParagraph"/>
        <w:numPr>
          <w:ilvl w:val="1"/>
          <w:numId w:val="11"/>
        </w:numPr>
        <w:tabs>
          <w:tab w:pos="2085" w:val="left" w:leader="none"/>
          <w:tab w:pos="2086" w:val="left" w:leader="none"/>
        </w:tabs>
        <w:spacing w:line="240" w:lineRule="auto" w:before="0" w:after="0"/>
        <w:ind w:left="2085" w:right="0" w:hanging="721"/>
        <w:jc w:val="left"/>
        <w:rPr>
          <w:b/>
          <w:sz w:val="24"/>
        </w:rPr>
      </w:pPr>
      <w:r>
        <w:rPr>
          <w:b/>
          <w:sz w:val="24"/>
        </w:rPr>
        <w:t>MISIÓN</w:t>
      </w:r>
    </w:p>
    <w:p>
      <w:pPr>
        <w:pStyle w:val="BodyText"/>
        <w:spacing w:before="197"/>
        <w:ind w:left="1082" w:right="856"/>
        <w:jc w:val="both"/>
      </w:pPr>
      <w:r>
        <w:rPr/>
        <w:t>Ser la llajta del Cosmoscimiento (Sabidurías ancestrales) para construir la  revolución de la soberanía alimentaria en los territorios con presencia integradora de la nación quechua al</w:t>
      </w:r>
      <w:r>
        <w:rPr>
          <w:spacing w:val="-1"/>
        </w:rPr>
        <w:t> </w:t>
      </w:r>
      <w:r>
        <w:rPr/>
        <w:t>2025.</w:t>
      </w:r>
    </w:p>
    <w:p>
      <w:pPr>
        <w:pStyle w:val="Heading3"/>
        <w:numPr>
          <w:ilvl w:val="1"/>
          <w:numId w:val="11"/>
        </w:numPr>
        <w:tabs>
          <w:tab w:pos="2085" w:val="left" w:leader="none"/>
          <w:tab w:pos="2086" w:val="left" w:leader="none"/>
        </w:tabs>
        <w:spacing w:line="240" w:lineRule="auto" w:before="201" w:after="0"/>
        <w:ind w:left="2085" w:right="0" w:hanging="721"/>
        <w:jc w:val="left"/>
      </w:pPr>
      <w:r>
        <w:rPr/>
        <w:t>VISIÓN</w:t>
      </w:r>
    </w:p>
    <w:p>
      <w:pPr>
        <w:pStyle w:val="BodyText"/>
        <w:spacing w:before="200"/>
        <w:ind w:left="1082" w:right="848"/>
        <w:jc w:val="both"/>
      </w:pPr>
      <w:r>
        <w:rPr/>
        <w:t>Acompañar al rol articulador plurinacional que tiene la Nación Quechua, formando y proveyendo, la YACHAYLLAJTA Unibol Quechua, los facilitadores y operadores tecnológicos en disputa y construcción de la hegemonía territorial y de disponibilidad del excedentes económicos del país, en beneficio de todas y todos los bolivianos.</w:t>
      </w:r>
    </w:p>
    <w:p>
      <w:pPr>
        <w:pStyle w:val="BodyText"/>
        <w:spacing w:before="10"/>
        <w:rPr>
          <w:sz w:val="20"/>
        </w:rPr>
      </w:pPr>
    </w:p>
    <w:p>
      <w:pPr>
        <w:pStyle w:val="Heading3"/>
        <w:numPr>
          <w:ilvl w:val="1"/>
          <w:numId w:val="11"/>
        </w:numPr>
        <w:tabs>
          <w:tab w:pos="2085" w:val="left" w:leader="none"/>
          <w:tab w:pos="2086" w:val="left" w:leader="none"/>
        </w:tabs>
        <w:spacing w:line="240" w:lineRule="auto" w:before="0" w:after="0"/>
        <w:ind w:left="2085" w:right="0" w:hanging="721"/>
        <w:jc w:val="left"/>
      </w:pPr>
      <w:r>
        <w:rPr/>
        <w:t>OBJETIVOS DEL </w:t>
      </w:r>
      <w:r>
        <w:rPr>
          <w:spacing w:val="-3"/>
        </w:rPr>
        <w:t>PLAN</w:t>
      </w:r>
      <w:r>
        <w:rPr/>
        <w:t> ESTRATEGICO</w:t>
      </w:r>
    </w:p>
    <w:p>
      <w:pPr>
        <w:pStyle w:val="BodyText"/>
        <w:rPr>
          <w:b/>
          <w:sz w:val="26"/>
        </w:rPr>
      </w:pPr>
    </w:p>
    <w:p>
      <w:pPr>
        <w:pStyle w:val="BodyText"/>
        <w:spacing w:before="10"/>
        <w:rPr>
          <w:b/>
          <w:sz w:val="27"/>
        </w:rPr>
      </w:pPr>
    </w:p>
    <w:p>
      <w:pPr>
        <w:pStyle w:val="BodyText"/>
        <w:spacing w:line="276" w:lineRule="auto"/>
        <w:ind w:left="1082" w:right="851"/>
        <w:jc w:val="both"/>
      </w:pPr>
      <w:r>
        <w:rPr/>
        <w:t>Considerando los antecedentes, principios y fundamentos que rige la institución en su carácter comunitario, productivo y descolonizador se ha fijado los siguientes objetivos: un objetivo superior es tomado del Decreto Supremo de creación de las UNIBOLs, que se refiere a la tarea principal que tiene la institución en tanto formación superior y otro trazado para el desarrollo del plan en los siguientes cinco años.</w:t>
      </w:r>
    </w:p>
    <w:p>
      <w:pPr>
        <w:pStyle w:val="Heading3"/>
        <w:numPr>
          <w:ilvl w:val="2"/>
          <w:numId w:val="46"/>
        </w:numPr>
        <w:tabs>
          <w:tab w:pos="1802" w:val="left" w:leader="none"/>
        </w:tabs>
        <w:spacing w:line="240" w:lineRule="auto" w:before="201" w:after="0"/>
        <w:ind w:left="1802" w:right="0" w:hanging="720"/>
        <w:jc w:val="left"/>
      </w:pPr>
      <w:r>
        <w:rPr/>
        <w:t>OBJETIVO</w:t>
      </w:r>
      <w:r>
        <w:rPr>
          <w:spacing w:val="-3"/>
        </w:rPr>
        <w:t> </w:t>
      </w:r>
      <w:r>
        <w:rPr/>
        <w:t>SUPERIOR</w:t>
      </w:r>
    </w:p>
    <w:p>
      <w:pPr>
        <w:pStyle w:val="BodyText"/>
        <w:rPr>
          <w:b/>
          <w:sz w:val="26"/>
        </w:rPr>
      </w:pPr>
    </w:p>
    <w:p>
      <w:pPr>
        <w:pStyle w:val="BodyText"/>
        <w:spacing w:before="7"/>
        <w:rPr>
          <w:b/>
          <w:sz w:val="22"/>
        </w:rPr>
      </w:pPr>
    </w:p>
    <w:p>
      <w:pPr>
        <w:pStyle w:val="BodyText"/>
        <w:spacing w:line="276" w:lineRule="auto"/>
        <w:ind w:left="1082" w:right="850"/>
        <w:jc w:val="both"/>
      </w:pPr>
      <w:r>
        <w:rPr/>
        <w:t>Formar mujeres y hombres profesionales capaces, responsables y consientes para asumir y fortalecer los retos del Estado Plurinacional, con una visión integral y descolonizadora, promoviendo el vivir bien a nivel de la Nación Quechua, del Estado Plurinacional y del Abya Yala.</w:t>
      </w:r>
    </w:p>
    <w:p>
      <w:pPr>
        <w:pStyle w:val="Heading3"/>
        <w:numPr>
          <w:ilvl w:val="2"/>
          <w:numId w:val="46"/>
        </w:numPr>
        <w:tabs>
          <w:tab w:pos="1802" w:val="left" w:leader="none"/>
        </w:tabs>
        <w:spacing w:line="240" w:lineRule="auto" w:before="200" w:after="0"/>
        <w:ind w:left="1802" w:right="0" w:hanging="720"/>
        <w:jc w:val="left"/>
      </w:pPr>
      <w:r>
        <w:rPr/>
        <w:t>OBJETIVO GENERAL DEL</w:t>
      </w:r>
      <w:r>
        <w:rPr>
          <w:spacing w:val="-2"/>
        </w:rPr>
        <w:t> </w:t>
      </w:r>
      <w:r>
        <w:rPr/>
        <w:t>PLAN</w:t>
      </w:r>
    </w:p>
    <w:p>
      <w:pPr>
        <w:pStyle w:val="BodyText"/>
        <w:rPr>
          <w:b/>
          <w:sz w:val="26"/>
        </w:rPr>
      </w:pPr>
    </w:p>
    <w:p>
      <w:pPr>
        <w:pStyle w:val="BodyText"/>
        <w:spacing w:before="6"/>
        <w:rPr>
          <w:b/>
          <w:sz w:val="25"/>
        </w:rPr>
      </w:pPr>
    </w:p>
    <w:p>
      <w:pPr>
        <w:pStyle w:val="BodyText"/>
        <w:spacing w:before="1"/>
        <w:ind w:left="1082" w:right="854"/>
        <w:jc w:val="both"/>
      </w:pPr>
      <w:r>
        <w:rPr/>
        <w:t>Aportar en el menor plazo posible, con profesionales descolonizados, miembros de la Nación Quechua, actuando como emprendedores y servidores técnico/científicos desde sus organizaciones y entidades gubernativas, en la consolidación y el posicionamiento de sus territorialidades como actores en la construcción de la soberanía alimentaria del Estado Plurinacional, en base a los saberes y prácticas andino-amazónicas y el aporte complementario de las ciencias y tecnologías contemporáneas.</w:t>
      </w:r>
    </w:p>
    <w:p>
      <w:pPr>
        <w:pStyle w:val="BodyText"/>
        <w:spacing w:before="4"/>
        <w:rPr>
          <w:sz w:val="27"/>
        </w:rPr>
      </w:pPr>
    </w:p>
    <w:p>
      <w:pPr>
        <w:pStyle w:val="Heading3"/>
        <w:numPr>
          <w:ilvl w:val="2"/>
          <w:numId w:val="46"/>
        </w:numPr>
        <w:tabs>
          <w:tab w:pos="1802" w:val="left" w:leader="none"/>
        </w:tabs>
        <w:spacing w:line="240" w:lineRule="auto" w:before="0" w:after="0"/>
        <w:ind w:left="1802" w:right="0" w:hanging="720"/>
        <w:jc w:val="left"/>
      </w:pPr>
      <w:r>
        <w:rPr/>
        <w:t>OBJETIVOS ESPECÍFICOS O ESTRATEGICOS</w:t>
      </w:r>
    </w:p>
    <w:p>
      <w:pPr>
        <w:pStyle w:val="BodyText"/>
        <w:spacing w:before="9"/>
        <w:rPr>
          <w:b/>
          <w:sz w:val="27"/>
        </w:rPr>
      </w:pPr>
    </w:p>
    <w:p>
      <w:pPr>
        <w:pStyle w:val="ListParagraph"/>
        <w:numPr>
          <w:ilvl w:val="3"/>
          <w:numId w:val="46"/>
        </w:numPr>
        <w:tabs>
          <w:tab w:pos="1802" w:val="left" w:leader="none"/>
        </w:tabs>
        <w:spacing w:line="278" w:lineRule="auto" w:before="0" w:after="0"/>
        <w:ind w:left="1802" w:right="856" w:hanging="360"/>
        <w:jc w:val="left"/>
        <w:rPr>
          <w:sz w:val="24"/>
        </w:rPr>
      </w:pPr>
      <w:r>
        <w:rPr>
          <w:sz w:val="24"/>
        </w:rPr>
        <w:t>Lograr el funcionamiento de la estructura académica Comunitaria de crianza de sabidurías-conocimientos como aporte al bienestar comunitario</w:t>
      </w:r>
      <w:r>
        <w:rPr>
          <w:spacing w:val="-2"/>
          <w:sz w:val="24"/>
        </w:rPr>
        <w:t> </w:t>
      </w:r>
      <w:r>
        <w:rPr>
          <w:sz w:val="24"/>
        </w:rPr>
        <w:t>integral</w:t>
      </w:r>
    </w:p>
    <w:p>
      <w:pPr>
        <w:spacing w:after="0" w:line="278" w:lineRule="auto"/>
        <w:jc w:val="left"/>
        <w:rPr>
          <w:sz w:val="24"/>
        </w:rPr>
        <w:sectPr>
          <w:pgSz w:w="11910" w:h="16840"/>
          <w:pgMar w:header="0" w:footer="922" w:top="1580" w:bottom="1200" w:left="620" w:right="280"/>
        </w:sectPr>
      </w:pPr>
    </w:p>
    <w:p>
      <w:pPr>
        <w:pStyle w:val="BodyText"/>
        <w:spacing w:line="278" w:lineRule="auto" w:before="76"/>
        <w:ind w:left="1802" w:right="1143"/>
      </w:pPr>
      <w:r>
        <w:rPr/>
        <w:t>(SUMAJ KAWSAY de nuestra PACHA) descolonizando, entre todos los actores, la herencia del modelo académico fragmentario y mercantilizado.</w:t>
      </w:r>
    </w:p>
    <w:p>
      <w:pPr>
        <w:pStyle w:val="BodyText"/>
        <w:spacing w:before="2"/>
        <w:rPr>
          <w:sz w:val="27"/>
        </w:rPr>
      </w:pPr>
    </w:p>
    <w:p>
      <w:pPr>
        <w:pStyle w:val="ListParagraph"/>
        <w:numPr>
          <w:ilvl w:val="3"/>
          <w:numId w:val="46"/>
        </w:numPr>
        <w:tabs>
          <w:tab w:pos="1802" w:val="left" w:leader="none"/>
        </w:tabs>
        <w:spacing w:line="276" w:lineRule="auto" w:before="0" w:after="0"/>
        <w:ind w:left="1802" w:right="845" w:hanging="360"/>
        <w:jc w:val="both"/>
        <w:rPr>
          <w:sz w:val="24"/>
        </w:rPr>
      </w:pPr>
      <w:r>
        <w:rPr>
          <w:sz w:val="24"/>
        </w:rPr>
        <w:t>Lograr el reconocimiento y la valoración del aporte operativo </w:t>
      </w:r>
      <w:r>
        <w:rPr>
          <w:spacing w:val="3"/>
          <w:sz w:val="24"/>
        </w:rPr>
        <w:t>del </w:t>
      </w:r>
      <w:r>
        <w:rPr>
          <w:sz w:val="24"/>
        </w:rPr>
        <w:t>YACHAYLLAJTA UNIBOL QUECHUA a través de la acción recíproca con organizaciones y gobiernos en las territorialidades de las diversas culturas de la Nación Quechua, así como la Cosmovisión Quechua esté asumida en la convivencia cotidiana y el proceso educativo por los actores</w:t>
      </w:r>
      <w:r>
        <w:rPr>
          <w:spacing w:val="-18"/>
          <w:sz w:val="24"/>
        </w:rPr>
        <w:t> </w:t>
      </w:r>
      <w:r>
        <w:rPr>
          <w:sz w:val="24"/>
        </w:rPr>
        <w:t>académicos.</w:t>
      </w:r>
    </w:p>
    <w:p>
      <w:pPr>
        <w:pStyle w:val="BodyText"/>
        <w:spacing w:before="8"/>
        <w:rPr>
          <w:sz w:val="27"/>
        </w:rPr>
      </w:pPr>
    </w:p>
    <w:p>
      <w:pPr>
        <w:pStyle w:val="ListParagraph"/>
        <w:numPr>
          <w:ilvl w:val="3"/>
          <w:numId w:val="46"/>
        </w:numPr>
        <w:tabs>
          <w:tab w:pos="1802" w:val="left" w:leader="none"/>
        </w:tabs>
        <w:spacing w:line="276" w:lineRule="auto" w:before="0" w:after="0"/>
        <w:ind w:left="1802" w:right="851" w:hanging="360"/>
        <w:jc w:val="both"/>
        <w:rPr>
          <w:sz w:val="24"/>
        </w:rPr>
      </w:pPr>
      <w:r>
        <w:rPr>
          <w:sz w:val="24"/>
        </w:rPr>
        <w:t>Lograr que las carreras y profesionales formados en la Unibol Quechua contribuyan a la generación de excedentes productivos para la soberanía alimentaria y el fortalecimiento de la economía comunitaria de las territorialidades de la Nación Quechua y de</w:t>
      </w:r>
      <w:r>
        <w:rPr>
          <w:spacing w:val="-11"/>
          <w:sz w:val="24"/>
        </w:rPr>
        <w:t> </w:t>
      </w:r>
      <w:r>
        <w:rPr>
          <w:sz w:val="24"/>
        </w:rPr>
        <w:t>Bolivia</w:t>
      </w:r>
    </w:p>
    <w:p>
      <w:pPr>
        <w:pStyle w:val="BodyText"/>
        <w:spacing w:before="7"/>
        <w:rPr>
          <w:sz w:val="27"/>
        </w:rPr>
      </w:pPr>
    </w:p>
    <w:p>
      <w:pPr>
        <w:pStyle w:val="ListParagraph"/>
        <w:numPr>
          <w:ilvl w:val="3"/>
          <w:numId w:val="46"/>
        </w:numPr>
        <w:tabs>
          <w:tab w:pos="1802" w:val="left" w:leader="none"/>
        </w:tabs>
        <w:spacing w:line="276" w:lineRule="auto" w:before="0" w:after="0"/>
        <w:ind w:left="1802" w:right="850" w:hanging="360"/>
        <w:jc w:val="both"/>
        <w:rPr>
          <w:sz w:val="24"/>
        </w:rPr>
      </w:pPr>
      <w:r>
        <w:rPr>
          <w:sz w:val="24"/>
        </w:rPr>
        <w:t>Lograr la interdependencia comunitaria Orgánico - Académica que oriente la dinámica del modelo educativo del Yachayllajta Unibol Quechua y su interface con las dinámicas territoriales de cambio de la matriz productiva. Como fortaleza en el direccionamiento del YACHAYLLAJTA, Unibol</w:t>
      </w:r>
      <w:r>
        <w:rPr>
          <w:spacing w:val="-14"/>
          <w:sz w:val="24"/>
        </w:rPr>
        <w:t> </w:t>
      </w:r>
      <w:r>
        <w:rPr>
          <w:sz w:val="24"/>
        </w:rPr>
        <w:t>Quechua.</w:t>
      </w:r>
    </w:p>
    <w:p>
      <w:pPr>
        <w:pStyle w:val="BodyText"/>
        <w:spacing w:before="10"/>
        <w:rPr>
          <w:sz w:val="20"/>
        </w:rPr>
      </w:pPr>
    </w:p>
    <w:p>
      <w:pPr>
        <w:pStyle w:val="Heading3"/>
        <w:numPr>
          <w:ilvl w:val="1"/>
          <w:numId w:val="11"/>
        </w:numPr>
        <w:tabs>
          <w:tab w:pos="2086" w:val="left" w:leader="none"/>
        </w:tabs>
        <w:spacing w:line="240" w:lineRule="auto" w:before="0" w:after="0"/>
        <w:ind w:left="2085" w:right="0" w:hanging="721"/>
        <w:jc w:val="both"/>
      </w:pPr>
      <w:r>
        <w:rPr/>
        <w:t>RESULTADOS</w:t>
      </w:r>
      <w:r>
        <w:rPr>
          <w:spacing w:val="-1"/>
        </w:rPr>
        <w:t> </w:t>
      </w:r>
      <w:r>
        <w:rPr/>
        <w:t>ESPERADOS</w:t>
      </w:r>
    </w:p>
    <w:p>
      <w:pPr>
        <w:pStyle w:val="BodyText"/>
        <w:spacing w:line="276" w:lineRule="auto" w:before="101"/>
        <w:ind w:left="1082" w:right="846"/>
        <w:jc w:val="both"/>
      </w:pPr>
      <w:r>
        <w:rPr/>
        <w:t>Considerando que YACHAYLLAJTA UNIBOL Quechua “Casimiro Huanca” como institución educativa de nivel superior, que responde a los intereses y necesidades de la Nación Quechua y proyecta su accionar en los diferentes niveles desde lo local, regional y plurinacional, hasta el nivel internacional. Se plantea los resultados en cuatro</w:t>
      </w:r>
      <w:r>
        <w:rPr>
          <w:spacing w:val="-3"/>
        </w:rPr>
        <w:t> </w:t>
      </w:r>
      <w:r>
        <w:rPr/>
        <w:t>dimensiones:</w:t>
      </w:r>
    </w:p>
    <w:p>
      <w:pPr>
        <w:pStyle w:val="BodyText"/>
        <w:spacing w:before="199"/>
        <w:ind w:left="1082"/>
        <w:jc w:val="both"/>
      </w:pPr>
      <w:r>
        <w:rPr>
          <w:b/>
        </w:rPr>
        <w:t>YACHAY: </w:t>
      </w:r>
      <w:r>
        <w:rPr/>
        <w:t>A nivel del fortalecimiento Académico desde las sabidurías quechuas</w:t>
      </w:r>
    </w:p>
    <w:p>
      <w:pPr>
        <w:pStyle w:val="BodyText"/>
        <w:spacing w:before="1"/>
        <w:rPr>
          <w:sz w:val="21"/>
        </w:rPr>
      </w:pPr>
    </w:p>
    <w:p>
      <w:pPr>
        <w:pStyle w:val="ListParagraph"/>
        <w:numPr>
          <w:ilvl w:val="0"/>
          <w:numId w:val="47"/>
        </w:numPr>
        <w:tabs>
          <w:tab w:pos="1442" w:val="left" w:leader="none"/>
        </w:tabs>
        <w:spacing w:line="276" w:lineRule="auto" w:before="0" w:after="0"/>
        <w:ind w:left="1442" w:right="849" w:hanging="360"/>
        <w:jc w:val="both"/>
        <w:rPr>
          <w:sz w:val="24"/>
        </w:rPr>
      </w:pPr>
      <w:r>
        <w:rPr>
          <w:sz w:val="24"/>
        </w:rPr>
        <w:t>En funcionamiento el Plan y Programa académico comunitario descolonizador basado en saberes y prácticas andino - amazónicas y la complementación científico-tecnológico</w:t>
      </w:r>
      <w:r>
        <w:rPr>
          <w:spacing w:val="-1"/>
          <w:sz w:val="24"/>
        </w:rPr>
        <w:t> </w:t>
      </w:r>
      <w:r>
        <w:rPr>
          <w:sz w:val="24"/>
        </w:rPr>
        <w:t>contemporánea.</w:t>
      </w:r>
    </w:p>
    <w:p>
      <w:pPr>
        <w:pStyle w:val="ListParagraph"/>
        <w:numPr>
          <w:ilvl w:val="0"/>
          <w:numId w:val="47"/>
        </w:numPr>
        <w:tabs>
          <w:tab w:pos="1442" w:val="left" w:leader="none"/>
        </w:tabs>
        <w:spacing w:line="276" w:lineRule="auto" w:before="1" w:after="0"/>
        <w:ind w:left="1442" w:right="847" w:hanging="360"/>
        <w:jc w:val="both"/>
        <w:rPr>
          <w:sz w:val="24"/>
        </w:rPr>
      </w:pPr>
      <w:r>
        <w:rPr>
          <w:sz w:val="24"/>
        </w:rPr>
        <w:t>En funcionamiento óptimo carreras de pregrado y postgrado reajustadas y/o establecidas como herramientas del posicionamiento estratégico de la producción de la Nación Quechua como actor central de la soberanía</w:t>
      </w:r>
      <w:r>
        <w:rPr>
          <w:spacing w:val="-10"/>
          <w:sz w:val="24"/>
        </w:rPr>
        <w:t> </w:t>
      </w:r>
      <w:r>
        <w:rPr>
          <w:sz w:val="24"/>
        </w:rPr>
        <w:t>alimentaria.</w:t>
      </w:r>
    </w:p>
    <w:p>
      <w:pPr>
        <w:pStyle w:val="ListParagraph"/>
        <w:numPr>
          <w:ilvl w:val="0"/>
          <w:numId w:val="47"/>
        </w:numPr>
        <w:tabs>
          <w:tab w:pos="1442" w:val="left" w:leader="none"/>
        </w:tabs>
        <w:spacing w:line="276" w:lineRule="auto" w:before="0" w:after="0"/>
        <w:ind w:left="1442" w:right="849" w:hanging="360"/>
        <w:jc w:val="both"/>
        <w:rPr>
          <w:sz w:val="24"/>
        </w:rPr>
      </w:pPr>
      <w:r>
        <w:rPr>
          <w:sz w:val="24"/>
        </w:rPr>
        <w:t>Se ejecuta un sistema permanente de aprendizaje-investigación aplicada comunitaria en el pre y post grado, que logre incorporar rescates e innovaciones tecnológicas en función de las prioridades productivas señaladas por las Organizaciones y Gobiernos de la Territorialidad de la Nación</w:t>
      </w:r>
      <w:r>
        <w:rPr>
          <w:spacing w:val="-12"/>
          <w:sz w:val="24"/>
        </w:rPr>
        <w:t> </w:t>
      </w:r>
      <w:r>
        <w:rPr>
          <w:sz w:val="24"/>
        </w:rPr>
        <w:t>Quechua</w:t>
      </w:r>
    </w:p>
    <w:p>
      <w:pPr>
        <w:pStyle w:val="ListParagraph"/>
        <w:numPr>
          <w:ilvl w:val="0"/>
          <w:numId w:val="47"/>
        </w:numPr>
        <w:tabs>
          <w:tab w:pos="1442" w:val="left" w:leader="none"/>
        </w:tabs>
        <w:spacing w:line="276" w:lineRule="auto" w:before="0" w:after="0"/>
        <w:ind w:left="1442" w:right="849" w:hanging="360"/>
        <w:jc w:val="both"/>
        <w:rPr>
          <w:sz w:val="24"/>
        </w:rPr>
      </w:pPr>
      <w:r>
        <w:rPr>
          <w:sz w:val="24"/>
        </w:rPr>
        <w:t>Consolidar el servicio de un Complejo de actualización, información y datos Multimodal e intercultural del saber y situación andino amazónico que alimente a la toma de decisiones productivas en la territorialidad de la nación quechua y la generación de tecnologías en la Yachayllajta UNIBOL Quechua “Casimiro Huanca”.</w:t>
      </w:r>
    </w:p>
    <w:p>
      <w:pPr>
        <w:spacing w:after="0" w:line="276" w:lineRule="auto"/>
        <w:jc w:val="both"/>
        <w:rPr>
          <w:sz w:val="24"/>
        </w:rPr>
        <w:sectPr>
          <w:pgSz w:w="11910" w:h="16840"/>
          <w:pgMar w:header="0" w:footer="922" w:top="1320" w:bottom="1200" w:left="620" w:right="280"/>
        </w:sectPr>
      </w:pPr>
    </w:p>
    <w:p>
      <w:pPr>
        <w:pStyle w:val="BodyText"/>
        <w:rPr>
          <w:sz w:val="21"/>
        </w:rPr>
      </w:pPr>
    </w:p>
    <w:p>
      <w:pPr>
        <w:pStyle w:val="BodyText"/>
        <w:spacing w:before="93"/>
        <w:ind w:left="1082"/>
      </w:pPr>
      <w:r>
        <w:rPr>
          <w:b/>
        </w:rPr>
        <w:t>ATIY: </w:t>
      </w:r>
      <w:r>
        <w:rPr/>
        <w:t>Fortalecimiento organizativo del gobierno comunitario de la Unibol Quechua.</w:t>
      </w:r>
    </w:p>
    <w:p>
      <w:pPr>
        <w:pStyle w:val="BodyText"/>
        <w:rPr>
          <w:sz w:val="21"/>
        </w:rPr>
      </w:pPr>
    </w:p>
    <w:p>
      <w:pPr>
        <w:pStyle w:val="ListParagraph"/>
        <w:numPr>
          <w:ilvl w:val="0"/>
          <w:numId w:val="47"/>
        </w:numPr>
        <w:tabs>
          <w:tab w:pos="1442" w:val="left" w:leader="none"/>
        </w:tabs>
        <w:spacing w:line="276" w:lineRule="auto" w:before="1" w:after="0"/>
        <w:ind w:left="1442" w:right="855" w:hanging="360"/>
        <w:jc w:val="both"/>
        <w:rPr>
          <w:sz w:val="24"/>
        </w:rPr>
      </w:pPr>
      <w:r>
        <w:rPr>
          <w:sz w:val="24"/>
        </w:rPr>
        <w:t>La ejecución anual de los programas educativos y aplicación de resultados de la Yachayllajta Unibol Quechua, están articulados a las coberturas y acciones territoriales estratégicas concertadas con las Organizaciones y Gobiernos de la Nación Quechua para el</w:t>
      </w:r>
      <w:r>
        <w:rPr>
          <w:spacing w:val="-5"/>
          <w:sz w:val="24"/>
        </w:rPr>
        <w:t> </w:t>
      </w:r>
      <w:r>
        <w:rPr>
          <w:sz w:val="24"/>
        </w:rPr>
        <w:t>periodo.</w:t>
      </w:r>
    </w:p>
    <w:p>
      <w:pPr>
        <w:pStyle w:val="ListParagraph"/>
        <w:numPr>
          <w:ilvl w:val="0"/>
          <w:numId w:val="47"/>
        </w:numPr>
        <w:tabs>
          <w:tab w:pos="1442" w:val="left" w:leader="none"/>
        </w:tabs>
        <w:spacing w:line="276" w:lineRule="auto" w:before="0" w:after="0"/>
        <w:ind w:left="1442" w:right="856" w:hanging="360"/>
        <w:jc w:val="both"/>
        <w:rPr>
          <w:sz w:val="24"/>
        </w:rPr>
      </w:pPr>
      <w:r>
        <w:rPr>
          <w:sz w:val="24"/>
        </w:rPr>
        <w:t>Las juntas comunitaria y académica así como la instancia ejecutiva de la Yachayllajta UNIBOL Quechua, conducen recurrentemente un sistema de gestión académica fluida y oportuna, capaz de responder a los requerimientos del proceso educativo, la sociedad y el Estado</w:t>
      </w:r>
      <w:r>
        <w:rPr>
          <w:spacing w:val="-8"/>
          <w:sz w:val="24"/>
        </w:rPr>
        <w:t> </w:t>
      </w:r>
      <w:r>
        <w:rPr>
          <w:sz w:val="24"/>
        </w:rPr>
        <w:t>Plurinacional.</w:t>
      </w:r>
    </w:p>
    <w:p>
      <w:pPr>
        <w:pStyle w:val="ListParagraph"/>
        <w:numPr>
          <w:ilvl w:val="0"/>
          <w:numId w:val="47"/>
        </w:numPr>
        <w:tabs>
          <w:tab w:pos="1442" w:val="left" w:leader="none"/>
        </w:tabs>
        <w:spacing w:line="276" w:lineRule="auto" w:before="0" w:after="0"/>
        <w:ind w:left="1442" w:right="857" w:hanging="360"/>
        <w:jc w:val="both"/>
        <w:rPr>
          <w:sz w:val="24"/>
        </w:rPr>
      </w:pPr>
      <w:r>
        <w:rPr>
          <w:sz w:val="24"/>
        </w:rPr>
        <w:t>Está implementado un sistema ágil, confiable y transparente de administración y control en el desenvolvimiento de la Yachayllajta UNIBOL, tanto en el campus Chimore como en su accionar</w:t>
      </w:r>
      <w:r>
        <w:rPr>
          <w:spacing w:val="-2"/>
          <w:sz w:val="24"/>
        </w:rPr>
        <w:t> </w:t>
      </w:r>
      <w:r>
        <w:rPr>
          <w:sz w:val="24"/>
        </w:rPr>
        <w:t>territorial.</w:t>
      </w:r>
    </w:p>
    <w:p>
      <w:pPr>
        <w:pStyle w:val="BodyText"/>
        <w:spacing w:before="200"/>
        <w:ind w:left="1082"/>
      </w:pPr>
      <w:r>
        <w:rPr>
          <w:b/>
        </w:rPr>
        <w:t>RUWAY</w:t>
      </w:r>
      <w:r>
        <w:rPr/>
        <w:t>: Fortalecimiento productivo comunitario</w:t>
      </w:r>
    </w:p>
    <w:p>
      <w:pPr>
        <w:pStyle w:val="BodyText"/>
        <w:spacing w:before="10"/>
        <w:rPr>
          <w:sz w:val="20"/>
        </w:rPr>
      </w:pPr>
    </w:p>
    <w:p>
      <w:pPr>
        <w:pStyle w:val="ListParagraph"/>
        <w:numPr>
          <w:ilvl w:val="0"/>
          <w:numId w:val="47"/>
        </w:numPr>
        <w:tabs>
          <w:tab w:pos="1442" w:val="left" w:leader="none"/>
        </w:tabs>
        <w:spacing w:line="276" w:lineRule="auto" w:before="0" w:after="0"/>
        <w:ind w:left="1442" w:right="855" w:hanging="360"/>
        <w:jc w:val="both"/>
        <w:rPr>
          <w:sz w:val="24"/>
        </w:rPr>
      </w:pPr>
      <w:r>
        <w:rPr>
          <w:sz w:val="24"/>
        </w:rPr>
        <w:t>Profesionales y estudiantes de la Yachayllajta UNIBOL son dinamizadores estratégicos de OECOMs y OECAS ya establecidas en la territorialidad quechua y en</w:t>
      </w:r>
      <w:r>
        <w:rPr>
          <w:spacing w:val="-4"/>
          <w:sz w:val="24"/>
        </w:rPr>
        <w:t> </w:t>
      </w:r>
      <w:r>
        <w:rPr>
          <w:sz w:val="24"/>
        </w:rPr>
        <w:t>Bolivia</w:t>
      </w:r>
    </w:p>
    <w:p>
      <w:pPr>
        <w:pStyle w:val="ListParagraph"/>
        <w:numPr>
          <w:ilvl w:val="0"/>
          <w:numId w:val="47"/>
        </w:numPr>
        <w:tabs>
          <w:tab w:pos="1442" w:val="left" w:leader="none"/>
        </w:tabs>
        <w:spacing w:line="276" w:lineRule="auto" w:before="1" w:after="0"/>
        <w:ind w:left="1442" w:right="847" w:hanging="360"/>
        <w:jc w:val="both"/>
        <w:rPr>
          <w:sz w:val="24"/>
        </w:rPr>
      </w:pPr>
      <w:r>
        <w:rPr>
          <w:sz w:val="24"/>
        </w:rPr>
        <w:t>Complejos productivos comunitarios que se implementan en territorialidades estratégicas de la nación quechua, cuentan con el aporte de los logros institucionales y de los profesionales del Yachayllajta</w:t>
      </w:r>
      <w:r>
        <w:rPr>
          <w:spacing w:val="-10"/>
          <w:sz w:val="24"/>
        </w:rPr>
        <w:t> </w:t>
      </w:r>
      <w:r>
        <w:rPr>
          <w:sz w:val="24"/>
        </w:rPr>
        <w:t>UNIBOL</w:t>
      </w:r>
    </w:p>
    <w:p>
      <w:pPr>
        <w:pStyle w:val="ListParagraph"/>
        <w:numPr>
          <w:ilvl w:val="0"/>
          <w:numId w:val="47"/>
        </w:numPr>
        <w:tabs>
          <w:tab w:pos="1442" w:val="left" w:leader="none"/>
        </w:tabs>
        <w:spacing w:line="276" w:lineRule="auto" w:before="1" w:after="0"/>
        <w:ind w:left="1442" w:right="850" w:hanging="360"/>
        <w:jc w:val="both"/>
        <w:rPr>
          <w:sz w:val="24"/>
        </w:rPr>
      </w:pPr>
      <w:r>
        <w:rPr>
          <w:sz w:val="24"/>
        </w:rPr>
        <w:t>La infraestructura y equipamiento del campus universitario permite cubrir óptimamente tanto los procesos de educación-producción, como la estadía en régimen de internado, optimizando la dedicación académica de la comunidad educativa</w:t>
      </w:r>
      <w:r>
        <w:rPr>
          <w:spacing w:val="-1"/>
          <w:sz w:val="24"/>
        </w:rPr>
        <w:t> </w:t>
      </w:r>
      <w:r>
        <w:rPr>
          <w:sz w:val="24"/>
        </w:rPr>
        <w:t>residente.</w:t>
      </w:r>
    </w:p>
    <w:p>
      <w:pPr>
        <w:pStyle w:val="BodyText"/>
        <w:spacing w:before="199"/>
        <w:ind w:left="1082"/>
      </w:pPr>
      <w:r>
        <w:rPr>
          <w:b/>
        </w:rPr>
        <w:t>MUNAY: </w:t>
      </w:r>
      <w:r>
        <w:rPr/>
        <w:t>Fortalecimiento cultural territorial y de identidad</w:t>
      </w:r>
    </w:p>
    <w:p>
      <w:pPr>
        <w:pStyle w:val="BodyText"/>
        <w:spacing w:before="10"/>
        <w:rPr>
          <w:sz w:val="20"/>
        </w:rPr>
      </w:pPr>
    </w:p>
    <w:p>
      <w:pPr>
        <w:pStyle w:val="ListParagraph"/>
        <w:numPr>
          <w:ilvl w:val="0"/>
          <w:numId w:val="47"/>
        </w:numPr>
        <w:tabs>
          <w:tab w:pos="1442" w:val="left" w:leader="none"/>
        </w:tabs>
        <w:spacing w:line="276" w:lineRule="auto" w:before="0" w:after="0"/>
        <w:ind w:left="1442" w:right="849" w:hanging="360"/>
        <w:jc w:val="both"/>
        <w:rPr>
          <w:sz w:val="24"/>
        </w:rPr>
      </w:pPr>
      <w:r>
        <w:rPr>
          <w:sz w:val="24"/>
        </w:rPr>
        <w:t>En funcionamiento espacios académicos semipresenciales </w:t>
      </w:r>
      <w:r>
        <w:rPr>
          <w:spacing w:val="3"/>
          <w:sz w:val="24"/>
        </w:rPr>
        <w:t>en </w:t>
      </w:r>
      <w:r>
        <w:rPr>
          <w:sz w:val="24"/>
        </w:rPr>
        <w:t>4 territorialidades estratégicas de la tecnología productiva de la Nación Quechua en diversos pisos ecológicos.</w:t>
      </w:r>
    </w:p>
    <w:p>
      <w:pPr>
        <w:pStyle w:val="ListParagraph"/>
        <w:numPr>
          <w:ilvl w:val="0"/>
          <w:numId w:val="47"/>
        </w:numPr>
        <w:tabs>
          <w:tab w:pos="1442" w:val="left" w:leader="none"/>
        </w:tabs>
        <w:spacing w:line="276" w:lineRule="auto" w:before="2" w:after="0"/>
        <w:ind w:left="1442" w:right="847" w:hanging="360"/>
        <w:jc w:val="both"/>
        <w:rPr>
          <w:sz w:val="24"/>
        </w:rPr>
      </w:pPr>
      <w:r>
        <w:rPr>
          <w:sz w:val="24"/>
        </w:rPr>
        <w:t>Los diversos actores de la comunidad educativa del Yachayllajta UNIBOL, practican la cultura quechua en su integralidad e interculturalidad (idioma, ritualidad, tecnologías) en el conjunto del proceso académico en régimen combinado: internado y</w:t>
      </w:r>
      <w:r>
        <w:rPr>
          <w:spacing w:val="-6"/>
          <w:sz w:val="24"/>
        </w:rPr>
        <w:t> </w:t>
      </w:r>
      <w:r>
        <w:rPr>
          <w:sz w:val="24"/>
        </w:rPr>
        <w:t>territorial.</w:t>
      </w:r>
    </w:p>
    <w:p>
      <w:pPr>
        <w:pStyle w:val="ListParagraph"/>
        <w:numPr>
          <w:ilvl w:val="0"/>
          <w:numId w:val="47"/>
        </w:numPr>
        <w:tabs>
          <w:tab w:pos="1442" w:val="left" w:leader="none"/>
        </w:tabs>
        <w:spacing w:line="276" w:lineRule="auto" w:before="0" w:after="0"/>
        <w:ind w:left="1442" w:right="847" w:hanging="360"/>
        <w:jc w:val="both"/>
        <w:rPr>
          <w:sz w:val="24"/>
        </w:rPr>
      </w:pPr>
      <w:r>
        <w:rPr>
          <w:sz w:val="24"/>
        </w:rPr>
        <w:t>Posicionar los logros tecnológicos y de saberes de los actores quechuas de la comunidad educativa Yachayllajta UNIBOL en otros ámbitos académicos agrosilvopecuarios de Bolivia y en otros espacios</w:t>
      </w:r>
      <w:r>
        <w:rPr>
          <w:spacing w:val="-11"/>
          <w:sz w:val="24"/>
        </w:rPr>
        <w:t> </w:t>
      </w:r>
      <w:r>
        <w:rPr>
          <w:sz w:val="24"/>
        </w:rPr>
        <w:t>internacionales</w:t>
      </w:r>
    </w:p>
    <w:p>
      <w:pPr>
        <w:spacing w:after="0" w:line="276" w:lineRule="auto"/>
        <w:jc w:val="both"/>
        <w:rPr>
          <w:sz w:val="24"/>
        </w:rPr>
        <w:sectPr>
          <w:pgSz w:w="11910" w:h="16840"/>
          <w:pgMar w:header="0" w:footer="922" w:top="1580" w:bottom="1200" w:left="620" w:right="280"/>
        </w:sectPr>
      </w:pPr>
    </w:p>
    <w:p>
      <w:pPr>
        <w:pStyle w:val="Heading1"/>
        <w:numPr>
          <w:ilvl w:val="0"/>
          <w:numId w:val="48"/>
        </w:numPr>
        <w:tabs>
          <w:tab w:pos="1533" w:val="left" w:leader="none"/>
          <w:tab w:pos="1534" w:val="left" w:leader="none"/>
        </w:tabs>
        <w:spacing w:line="240" w:lineRule="auto" w:before="57" w:after="0"/>
        <w:ind w:left="1533" w:right="0" w:hanging="452"/>
        <w:jc w:val="left"/>
      </w:pPr>
      <w:r>
        <w:rPr>
          <w:spacing w:val="-3"/>
        </w:rPr>
        <w:t>ESTRATEGIA </w:t>
      </w:r>
      <w:r>
        <w:rPr/>
        <w:t>DE</w:t>
      </w:r>
      <w:r>
        <w:rPr>
          <w:spacing w:val="-15"/>
        </w:rPr>
        <w:t> </w:t>
      </w:r>
      <w:r>
        <w:rPr/>
        <w:t>IMPLEMENTACION</w:t>
      </w:r>
    </w:p>
    <w:p>
      <w:pPr>
        <w:pStyle w:val="Heading3"/>
        <w:numPr>
          <w:ilvl w:val="1"/>
          <w:numId w:val="48"/>
        </w:numPr>
        <w:tabs>
          <w:tab w:pos="2085" w:val="left" w:leader="none"/>
          <w:tab w:pos="2086" w:val="left" w:leader="none"/>
        </w:tabs>
        <w:spacing w:line="240" w:lineRule="auto" w:before="296" w:after="0"/>
        <w:ind w:left="2085" w:right="0" w:hanging="721"/>
        <w:jc w:val="left"/>
      </w:pPr>
      <w:r>
        <w:rPr/>
        <w:t>ESTRUCTURA Y COMPONENTES DEL</w:t>
      </w:r>
      <w:r>
        <w:rPr>
          <w:spacing w:val="-8"/>
        </w:rPr>
        <w:t> </w:t>
      </w:r>
      <w:r>
        <w:rPr>
          <w:spacing w:val="-3"/>
        </w:rPr>
        <w:t>PLAN</w:t>
      </w:r>
    </w:p>
    <w:p>
      <w:pPr>
        <w:pStyle w:val="BodyText"/>
        <w:rPr>
          <w:b/>
          <w:sz w:val="26"/>
        </w:rPr>
      </w:pPr>
    </w:p>
    <w:p>
      <w:pPr>
        <w:pStyle w:val="BodyText"/>
        <w:spacing w:before="7"/>
        <w:rPr>
          <w:b/>
          <w:sz w:val="27"/>
        </w:rPr>
      </w:pPr>
    </w:p>
    <w:p>
      <w:pPr>
        <w:pStyle w:val="BodyText"/>
        <w:ind w:left="1082" w:right="853"/>
        <w:jc w:val="both"/>
      </w:pPr>
      <w:r>
        <w:rPr/>
        <w:t>Operativamente el aporte de las acciones en cada Nivel para el logro del Objetivo Estratégico de cada Dimensión, podrá lograrse mediante el abordaje operativo por Componentes, los que permitirán alcanzar un respectivo Resultado Operativo; estos Componentes están constituidos por un grupo de actividades sujetas a un método y orden de implementación, mismas que se describen a continuación:</w:t>
      </w:r>
    </w:p>
    <w:p>
      <w:pPr>
        <w:pStyle w:val="BodyText"/>
        <w:spacing w:before="10"/>
        <w:rPr>
          <w:sz w:val="23"/>
        </w:rPr>
      </w:pPr>
    </w:p>
    <w:p>
      <w:pPr>
        <w:pStyle w:val="BodyText"/>
        <w:ind w:left="1082" w:right="850"/>
        <w:jc w:val="both"/>
      </w:pPr>
      <w:r>
        <w:rPr/>
        <w:t>Varios de estos Componentes son recurrentes y trasversales a diferentes Niveles , esto significa que para el aporte del mismo a logara el objetivo de la respectiva dimensión, dependen de o tienen alta incidencia en diferentes Niveles para lograr alcanzar el objetivo estratégico, esto se verá reflejado en las actividades , cuando ellas aparecen reiteradamente en diversos niveles, si bien es cierto que hay Dimensiones que tienen un específico nivel de operativización preferencial de cuyo dinamismo pueden depender las reacciones de los otros niveles. Por lo tanto si bien por razones de mejor presentación la Estrategia de implementación aparece determinada por los niveles de operativizacion: Institucional, Quechua,  Plurinacional, e Internacional, tienen una alta interdependencia entre niveles sea para ser ejecutados o en la repercusión positiva de sus</w:t>
      </w:r>
      <w:r>
        <w:rPr>
          <w:spacing w:val="60"/>
        </w:rPr>
        <w:t> </w:t>
      </w:r>
      <w:r>
        <w:rPr/>
        <w:t>logros.</w:t>
      </w:r>
    </w:p>
    <w:p>
      <w:pPr>
        <w:pStyle w:val="BodyText"/>
      </w:pPr>
    </w:p>
    <w:p>
      <w:pPr>
        <w:pStyle w:val="BodyText"/>
        <w:spacing w:before="1"/>
        <w:ind w:left="1082" w:right="852"/>
        <w:jc w:val="both"/>
      </w:pPr>
      <w:r>
        <w:rPr/>
        <w:t>Dado el rol que caracteriza a una entidad dedicada a la formación superior, la estrategia de intervención jerarquiza por el grado de directo y alto de  responsabilidad que toca a los actores directos y por la incidencia de la dimensión  en las otras dimensiones y en los consecuentes niveles, es así que la dimensión Yachay y el nivel institucional, son el epicentro de esta estrategia y marcaran las consecuentes dinámicas en las demás, según la siguiente secuencia</w:t>
      </w:r>
      <w:r>
        <w:rPr>
          <w:spacing w:val="-25"/>
        </w:rPr>
        <w:t> </w:t>
      </w:r>
      <w:r>
        <w:rPr/>
        <w:t>estratégica:</w:t>
      </w:r>
    </w:p>
    <w:p>
      <w:pPr>
        <w:pStyle w:val="BodyText"/>
        <w:spacing w:before="11"/>
        <w:rPr>
          <w:sz w:val="23"/>
        </w:rPr>
      </w:pPr>
    </w:p>
    <w:p>
      <w:pPr>
        <w:pStyle w:val="BodyText"/>
        <w:ind w:left="1082" w:right="848"/>
        <w:jc w:val="both"/>
      </w:pPr>
      <w:r>
        <w:rPr/>
        <w:t>Si la UNIBOL Quechua profundiza su calidad e identidad educativa vía la dimensión académica del Yachay y acompaña a esta con una óptima estructura administrativa y de gestión institucional reflejada en la Dimensión Atiy, ambos permitirán mostrar  su capacidad de aporte tecnológico – productivo con incidencia mediante la Dimensión Ruway y así lograr que Quechuas y Bolivia reconozcan su posicionamiento como protagonista clave del cambio de matriz económica con identidad , vía la Dimensión</w:t>
      </w:r>
      <w:r>
        <w:rPr>
          <w:spacing w:val="-1"/>
        </w:rPr>
        <w:t> </w:t>
      </w:r>
      <w:r>
        <w:rPr/>
        <w:t>Munay.</w:t>
      </w:r>
    </w:p>
    <w:p>
      <w:pPr>
        <w:pStyle w:val="BodyText"/>
        <w:rPr>
          <w:sz w:val="26"/>
        </w:rPr>
      </w:pPr>
    </w:p>
    <w:p>
      <w:pPr>
        <w:spacing w:before="226"/>
        <w:ind w:left="713" w:right="493" w:firstLine="0"/>
        <w:jc w:val="center"/>
        <w:rPr>
          <w:rFonts w:ascii="Calibri"/>
          <w:b/>
          <w:sz w:val="20"/>
        </w:rPr>
      </w:pPr>
      <w:r>
        <w:rPr>
          <w:rFonts w:ascii="Calibri"/>
          <w:b/>
          <w:sz w:val="20"/>
        </w:rPr>
        <w:t>Mapa de Incidencia y prioridad de las Dimensiones por Niveles</w:t>
      </w:r>
    </w:p>
    <w:p>
      <w:pPr>
        <w:pStyle w:val="BodyText"/>
        <w:rPr>
          <w:rFonts w:ascii="Calibri"/>
          <w:b/>
          <w:sz w:val="20"/>
        </w:rPr>
      </w:pPr>
    </w:p>
    <w:tbl>
      <w:tblPr>
        <w:tblW w:w="0" w:type="auto"/>
        <w:jc w:val="left"/>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7"/>
        <w:gridCol w:w="1783"/>
        <w:gridCol w:w="1613"/>
        <w:gridCol w:w="1817"/>
        <w:gridCol w:w="1828"/>
      </w:tblGrid>
      <w:tr>
        <w:trPr>
          <w:trHeight w:val="244" w:hRule="atLeast"/>
        </w:trPr>
        <w:tc>
          <w:tcPr>
            <w:tcW w:w="2247" w:type="dxa"/>
            <w:shd w:val="clear" w:color="auto" w:fill="DDD9C3"/>
          </w:tcPr>
          <w:p>
            <w:pPr>
              <w:pStyle w:val="TableParagraph"/>
              <w:spacing w:line="223" w:lineRule="exact" w:before="1"/>
              <w:ind w:left="107"/>
              <w:rPr>
                <w:sz w:val="20"/>
              </w:rPr>
            </w:pPr>
            <w:r>
              <w:rPr>
                <w:sz w:val="20"/>
              </w:rPr>
              <w:t>DIMENSIONES /NIVELES</w:t>
            </w:r>
          </w:p>
        </w:tc>
        <w:tc>
          <w:tcPr>
            <w:tcW w:w="1783" w:type="dxa"/>
            <w:shd w:val="clear" w:color="auto" w:fill="DDD9C3"/>
          </w:tcPr>
          <w:p>
            <w:pPr>
              <w:pStyle w:val="TableParagraph"/>
              <w:spacing w:line="223" w:lineRule="exact" w:before="1"/>
              <w:ind w:left="107"/>
              <w:rPr>
                <w:sz w:val="20"/>
              </w:rPr>
            </w:pPr>
            <w:r>
              <w:rPr>
                <w:sz w:val="20"/>
              </w:rPr>
              <w:t>Institucional</w:t>
            </w:r>
          </w:p>
        </w:tc>
        <w:tc>
          <w:tcPr>
            <w:tcW w:w="1613" w:type="dxa"/>
            <w:shd w:val="clear" w:color="auto" w:fill="DDD9C3"/>
          </w:tcPr>
          <w:p>
            <w:pPr>
              <w:pStyle w:val="TableParagraph"/>
              <w:spacing w:line="223" w:lineRule="exact" w:before="1"/>
              <w:ind w:left="107"/>
              <w:rPr>
                <w:sz w:val="20"/>
              </w:rPr>
            </w:pPr>
            <w:r>
              <w:rPr>
                <w:sz w:val="20"/>
              </w:rPr>
              <w:t>Nación Quechua</w:t>
            </w:r>
          </w:p>
        </w:tc>
        <w:tc>
          <w:tcPr>
            <w:tcW w:w="1817" w:type="dxa"/>
            <w:shd w:val="clear" w:color="auto" w:fill="DDD9C3"/>
          </w:tcPr>
          <w:p>
            <w:pPr>
              <w:pStyle w:val="TableParagraph"/>
              <w:spacing w:line="223" w:lineRule="exact" w:before="1"/>
              <w:ind w:left="108"/>
              <w:rPr>
                <w:sz w:val="20"/>
              </w:rPr>
            </w:pPr>
            <w:r>
              <w:rPr>
                <w:sz w:val="20"/>
              </w:rPr>
              <w:t>Plurinacional</w:t>
            </w:r>
          </w:p>
        </w:tc>
        <w:tc>
          <w:tcPr>
            <w:tcW w:w="1828" w:type="dxa"/>
            <w:shd w:val="clear" w:color="auto" w:fill="DDD9C3"/>
          </w:tcPr>
          <w:p>
            <w:pPr>
              <w:pStyle w:val="TableParagraph"/>
              <w:spacing w:line="223" w:lineRule="exact" w:before="1"/>
              <w:ind w:left="106"/>
              <w:rPr>
                <w:sz w:val="20"/>
              </w:rPr>
            </w:pPr>
            <w:r>
              <w:rPr>
                <w:sz w:val="20"/>
              </w:rPr>
              <w:t>Internacional</w:t>
            </w:r>
          </w:p>
        </w:tc>
      </w:tr>
      <w:tr>
        <w:trPr>
          <w:trHeight w:val="244" w:hRule="atLeast"/>
        </w:trPr>
        <w:tc>
          <w:tcPr>
            <w:tcW w:w="2247" w:type="dxa"/>
          </w:tcPr>
          <w:p>
            <w:pPr>
              <w:pStyle w:val="TableParagraph"/>
              <w:spacing w:line="224" w:lineRule="exact"/>
              <w:ind w:left="107"/>
              <w:rPr>
                <w:sz w:val="20"/>
              </w:rPr>
            </w:pPr>
            <w:r>
              <w:rPr>
                <w:sz w:val="20"/>
              </w:rPr>
              <w:t>Yachay</w:t>
            </w:r>
          </w:p>
        </w:tc>
        <w:tc>
          <w:tcPr>
            <w:tcW w:w="1783" w:type="dxa"/>
          </w:tcPr>
          <w:p>
            <w:pPr>
              <w:pStyle w:val="TableParagraph"/>
              <w:spacing w:line="224" w:lineRule="exact"/>
              <w:ind w:left="107"/>
              <w:rPr>
                <w:sz w:val="20"/>
              </w:rPr>
            </w:pPr>
            <w:r>
              <w:rPr>
                <w:sz w:val="20"/>
              </w:rPr>
              <w:t>XXXXX</w:t>
            </w:r>
          </w:p>
        </w:tc>
        <w:tc>
          <w:tcPr>
            <w:tcW w:w="1613" w:type="dxa"/>
          </w:tcPr>
          <w:p>
            <w:pPr>
              <w:pStyle w:val="TableParagraph"/>
              <w:spacing w:line="224" w:lineRule="exact"/>
              <w:ind w:left="107"/>
              <w:rPr>
                <w:sz w:val="20"/>
              </w:rPr>
            </w:pPr>
            <w:r>
              <w:rPr>
                <w:sz w:val="20"/>
              </w:rPr>
              <w:t>XX</w:t>
            </w:r>
          </w:p>
        </w:tc>
        <w:tc>
          <w:tcPr>
            <w:tcW w:w="1817" w:type="dxa"/>
          </w:tcPr>
          <w:p>
            <w:pPr>
              <w:pStyle w:val="TableParagraph"/>
              <w:spacing w:line="224" w:lineRule="exact"/>
              <w:ind w:left="108"/>
              <w:rPr>
                <w:sz w:val="20"/>
              </w:rPr>
            </w:pPr>
            <w:r>
              <w:rPr>
                <w:sz w:val="20"/>
              </w:rPr>
              <w:t>XX</w:t>
            </w:r>
          </w:p>
        </w:tc>
        <w:tc>
          <w:tcPr>
            <w:tcW w:w="1828" w:type="dxa"/>
          </w:tcPr>
          <w:p>
            <w:pPr>
              <w:pStyle w:val="TableParagraph"/>
              <w:spacing w:line="224" w:lineRule="exact"/>
              <w:ind w:left="106"/>
              <w:rPr>
                <w:sz w:val="20"/>
              </w:rPr>
            </w:pPr>
            <w:r>
              <w:rPr>
                <w:sz w:val="20"/>
              </w:rPr>
              <w:t>XXXXX</w:t>
            </w:r>
          </w:p>
        </w:tc>
      </w:tr>
      <w:tr>
        <w:trPr>
          <w:trHeight w:val="244" w:hRule="atLeast"/>
        </w:trPr>
        <w:tc>
          <w:tcPr>
            <w:tcW w:w="2247" w:type="dxa"/>
          </w:tcPr>
          <w:p>
            <w:pPr>
              <w:pStyle w:val="TableParagraph"/>
              <w:spacing w:line="224" w:lineRule="exact"/>
              <w:ind w:left="107"/>
              <w:rPr>
                <w:sz w:val="20"/>
              </w:rPr>
            </w:pPr>
            <w:r>
              <w:rPr>
                <w:sz w:val="20"/>
              </w:rPr>
              <w:t>Atiy</w:t>
            </w:r>
          </w:p>
        </w:tc>
        <w:tc>
          <w:tcPr>
            <w:tcW w:w="1783" w:type="dxa"/>
          </w:tcPr>
          <w:p>
            <w:pPr>
              <w:pStyle w:val="TableParagraph"/>
              <w:spacing w:line="224" w:lineRule="exact"/>
              <w:ind w:left="107"/>
              <w:rPr>
                <w:sz w:val="20"/>
              </w:rPr>
            </w:pPr>
            <w:r>
              <w:rPr>
                <w:sz w:val="20"/>
              </w:rPr>
              <w:t>XXX</w:t>
            </w:r>
          </w:p>
        </w:tc>
        <w:tc>
          <w:tcPr>
            <w:tcW w:w="1613" w:type="dxa"/>
          </w:tcPr>
          <w:p>
            <w:pPr>
              <w:pStyle w:val="TableParagraph"/>
              <w:spacing w:line="224" w:lineRule="exact"/>
              <w:ind w:left="107"/>
              <w:rPr>
                <w:sz w:val="20"/>
              </w:rPr>
            </w:pPr>
            <w:r>
              <w:rPr>
                <w:sz w:val="20"/>
              </w:rPr>
              <w:t>XXX</w:t>
            </w:r>
          </w:p>
        </w:tc>
        <w:tc>
          <w:tcPr>
            <w:tcW w:w="1817" w:type="dxa"/>
          </w:tcPr>
          <w:p>
            <w:pPr>
              <w:pStyle w:val="TableParagraph"/>
              <w:spacing w:line="224" w:lineRule="exact"/>
              <w:ind w:left="108"/>
              <w:rPr>
                <w:sz w:val="20"/>
              </w:rPr>
            </w:pPr>
            <w:r>
              <w:rPr>
                <w:sz w:val="20"/>
              </w:rPr>
              <w:t>XXXX</w:t>
            </w:r>
          </w:p>
        </w:tc>
        <w:tc>
          <w:tcPr>
            <w:tcW w:w="1828" w:type="dxa"/>
          </w:tcPr>
          <w:p>
            <w:pPr>
              <w:pStyle w:val="TableParagraph"/>
              <w:spacing w:line="224" w:lineRule="exact"/>
              <w:ind w:left="106"/>
              <w:rPr>
                <w:sz w:val="20"/>
              </w:rPr>
            </w:pPr>
            <w:r>
              <w:rPr>
                <w:sz w:val="20"/>
              </w:rPr>
              <w:t>XX</w:t>
            </w:r>
          </w:p>
        </w:tc>
      </w:tr>
      <w:tr>
        <w:trPr>
          <w:trHeight w:val="244" w:hRule="atLeast"/>
        </w:trPr>
        <w:tc>
          <w:tcPr>
            <w:tcW w:w="2247" w:type="dxa"/>
          </w:tcPr>
          <w:p>
            <w:pPr>
              <w:pStyle w:val="TableParagraph"/>
              <w:spacing w:line="224" w:lineRule="exact"/>
              <w:ind w:left="107"/>
              <w:rPr>
                <w:sz w:val="20"/>
              </w:rPr>
            </w:pPr>
            <w:r>
              <w:rPr>
                <w:sz w:val="20"/>
              </w:rPr>
              <w:t>Ruway</w:t>
            </w:r>
          </w:p>
        </w:tc>
        <w:tc>
          <w:tcPr>
            <w:tcW w:w="1783" w:type="dxa"/>
          </w:tcPr>
          <w:p>
            <w:pPr>
              <w:pStyle w:val="TableParagraph"/>
              <w:spacing w:line="224" w:lineRule="exact"/>
              <w:ind w:left="107"/>
              <w:rPr>
                <w:sz w:val="20"/>
              </w:rPr>
            </w:pPr>
            <w:r>
              <w:rPr>
                <w:sz w:val="20"/>
              </w:rPr>
              <w:t>XXXX</w:t>
            </w:r>
          </w:p>
        </w:tc>
        <w:tc>
          <w:tcPr>
            <w:tcW w:w="1613" w:type="dxa"/>
          </w:tcPr>
          <w:p>
            <w:pPr>
              <w:pStyle w:val="TableParagraph"/>
              <w:spacing w:line="224" w:lineRule="exact"/>
              <w:ind w:left="107"/>
              <w:rPr>
                <w:sz w:val="20"/>
              </w:rPr>
            </w:pPr>
            <w:r>
              <w:rPr>
                <w:sz w:val="20"/>
              </w:rPr>
              <w:t>XXXX</w:t>
            </w:r>
          </w:p>
        </w:tc>
        <w:tc>
          <w:tcPr>
            <w:tcW w:w="1817" w:type="dxa"/>
          </w:tcPr>
          <w:p>
            <w:pPr>
              <w:pStyle w:val="TableParagraph"/>
              <w:spacing w:line="224" w:lineRule="exact"/>
              <w:ind w:left="108"/>
              <w:rPr>
                <w:sz w:val="20"/>
              </w:rPr>
            </w:pPr>
            <w:r>
              <w:rPr>
                <w:sz w:val="20"/>
              </w:rPr>
              <w:t>XXXXXX</w:t>
            </w:r>
          </w:p>
        </w:tc>
        <w:tc>
          <w:tcPr>
            <w:tcW w:w="1828" w:type="dxa"/>
          </w:tcPr>
          <w:p>
            <w:pPr>
              <w:pStyle w:val="TableParagraph"/>
              <w:spacing w:line="224" w:lineRule="exact"/>
              <w:ind w:left="106"/>
              <w:rPr>
                <w:sz w:val="20"/>
              </w:rPr>
            </w:pPr>
            <w:r>
              <w:rPr>
                <w:sz w:val="20"/>
              </w:rPr>
              <w:t>XXX</w:t>
            </w:r>
          </w:p>
        </w:tc>
      </w:tr>
      <w:tr>
        <w:trPr>
          <w:trHeight w:val="244" w:hRule="atLeast"/>
        </w:trPr>
        <w:tc>
          <w:tcPr>
            <w:tcW w:w="2247" w:type="dxa"/>
          </w:tcPr>
          <w:p>
            <w:pPr>
              <w:pStyle w:val="TableParagraph"/>
              <w:spacing w:line="224" w:lineRule="exact"/>
              <w:ind w:left="107"/>
              <w:rPr>
                <w:sz w:val="20"/>
              </w:rPr>
            </w:pPr>
            <w:r>
              <w:rPr>
                <w:sz w:val="20"/>
              </w:rPr>
              <w:t>Munay</w:t>
            </w:r>
          </w:p>
        </w:tc>
        <w:tc>
          <w:tcPr>
            <w:tcW w:w="1783" w:type="dxa"/>
          </w:tcPr>
          <w:p>
            <w:pPr>
              <w:pStyle w:val="TableParagraph"/>
              <w:spacing w:line="224" w:lineRule="exact"/>
              <w:ind w:left="107"/>
              <w:rPr>
                <w:sz w:val="20"/>
              </w:rPr>
            </w:pPr>
            <w:r>
              <w:rPr>
                <w:sz w:val="20"/>
              </w:rPr>
              <w:t>XX</w:t>
            </w:r>
          </w:p>
        </w:tc>
        <w:tc>
          <w:tcPr>
            <w:tcW w:w="1613" w:type="dxa"/>
          </w:tcPr>
          <w:p>
            <w:pPr>
              <w:pStyle w:val="TableParagraph"/>
              <w:spacing w:line="224" w:lineRule="exact"/>
              <w:ind w:left="107"/>
              <w:rPr>
                <w:sz w:val="20"/>
              </w:rPr>
            </w:pPr>
            <w:r>
              <w:rPr>
                <w:sz w:val="20"/>
              </w:rPr>
              <w:t>XXXXX</w:t>
            </w:r>
          </w:p>
        </w:tc>
        <w:tc>
          <w:tcPr>
            <w:tcW w:w="1817" w:type="dxa"/>
          </w:tcPr>
          <w:p>
            <w:pPr>
              <w:pStyle w:val="TableParagraph"/>
              <w:spacing w:line="224" w:lineRule="exact"/>
              <w:ind w:left="108"/>
              <w:rPr>
                <w:sz w:val="20"/>
              </w:rPr>
            </w:pPr>
            <w:r>
              <w:rPr>
                <w:sz w:val="20"/>
              </w:rPr>
              <w:t>XXX</w:t>
            </w:r>
          </w:p>
        </w:tc>
        <w:tc>
          <w:tcPr>
            <w:tcW w:w="1828" w:type="dxa"/>
          </w:tcPr>
          <w:p>
            <w:pPr>
              <w:pStyle w:val="TableParagraph"/>
              <w:spacing w:line="224" w:lineRule="exact"/>
              <w:ind w:left="106"/>
              <w:rPr>
                <w:sz w:val="20"/>
              </w:rPr>
            </w:pPr>
            <w:r>
              <w:rPr>
                <w:sz w:val="20"/>
              </w:rPr>
              <w:t>XXXX</w:t>
            </w:r>
          </w:p>
        </w:tc>
      </w:tr>
    </w:tbl>
    <w:p>
      <w:pPr>
        <w:spacing w:after="0" w:line="224" w:lineRule="exact"/>
        <w:rPr>
          <w:sz w:val="20"/>
        </w:rPr>
        <w:sectPr>
          <w:pgSz w:w="11910" w:h="16840"/>
          <w:pgMar w:header="0" w:footer="922" w:top="1340" w:bottom="1200" w:left="620" w:right="280"/>
        </w:sectPr>
      </w:pPr>
    </w:p>
    <w:p>
      <w:pPr>
        <w:pStyle w:val="BodyText"/>
        <w:rPr>
          <w:rFonts w:ascii="Calibri"/>
          <w:b/>
          <w:sz w:val="20"/>
        </w:rPr>
      </w:pPr>
      <w:r>
        <w:rPr/>
        <w:pict>
          <v:shape style="position:absolute;margin-left:521.539978pt;margin-top:300.559998pt;width:20pt;height:34.550pt;mso-position-horizontal-relative:page;mso-position-vertical-relative:page;z-index:251674624" type="#_x0000_t202" filled="false" stroked="false">
            <v:textbox inset="0,0,0,0" style="layout-flow:vertical">
              <w:txbxContent>
                <w:p>
                  <w:pPr>
                    <w:spacing w:line="387" w:lineRule="exact" w:before="0"/>
                    <w:ind w:left="20" w:right="0" w:firstLine="0"/>
                    <w:jc w:val="left"/>
                    <w:rPr>
                      <w:rFonts w:ascii="Calibri"/>
                      <w:b/>
                      <w:sz w:val="36"/>
                    </w:rPr>
                  </w:pPr>
                  <w:r>
                    <w:rPr>
                      <w:rFonts w:ascii="Calibri"/>
                      <w:b/>
                      <w:spacing w:val="-8"/>
                      <w:sz w:val="36"/>
                    </w:rPr>
                    <w:t>ATIY</w:t>
                  </w:r>
                </w:p>
              </w:txbxContent>
            </v:textbox>
            <w10:wrap type="none"/>
          </v:shape>
        </w:pict>
      </w:r>
      <w:r>
        <w:rPr/>
        <w:pict>
          <v:shape style="position:absolute;margin-left:54.001999pt;margin-top:287.729156pt;width:20.05pt;height:60.25pt;mso-position-horizontal-relative:page;mso-position-vertical-relative:page;z-index:251675648" type="#_x0000_t202" filled="false" stroked="false">
            <v:textbox inset="0,0,0,0" style="layout-flow:vertical;mso-layout-flow-alt:bottom-to-top">
              <w:txbxContent>
                <w:p>
                  <w:pPr>
                    <w:spacing w:line="387" w:lineRule="exact" w:before="0"/>
                    <w:ind w:left="20" w:right="0" w:firstLine="0"/>
                    <w:jc w:val="left"/>
                    <w:rPr>
                      <w:rFonts w:ascii="Calibri"/>
                      <w:b/>
                      <w:sz w:val="36"/>
                    </w:rPr>
                  </w:pPr>
                  <w:r>
                    <w:rPr>
                      <w:rFonts w:ascii="Calibri"/>
                      <w:b/>
                      <w:spacing w:val="-12"/>
                      <w:sz w:val="36"/>
                    </w:rPr>
                    <w:t>YACHAY</w:t>
                  </w:r>
                </w:p>
              </w:txbxContent>
            </v:textbox>
            <w10:wrap type="none"/>
          </v:shape>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28"/>
        </w:rPr>
      </w:pPr>
    </w:p>
    <w:p>
      <w:pPr>
        <w:pStyle w:val="Heading3"/>
        <w:numPr>
          <w:ilvl w:val="1"/>
          <w:numId w:val="48"/>
        </w:numPr>
        <w:tabs>
          <w:tab w:pos="2085" w:val="left" w:leader="none"/>
          <w:tab w:pos="2086" w:val="left" w:leader="none"/>
        </w:tabs>
        <w:spacing w:line="240" w:lineRule="auto" w:before="93" w:after="0"/>
        <w:ind w:left="2085" w:right="0" w:hanging="721"/>
        <w:jc w:val="left"/>
      </w:pPr>
      <w:r>
        <w:rPr/>
        <w:pict>
          <v:group style="position:absolute;margin-left:40.900002pt;margin-top:-500.330139pt;width:513.75pt;height:465.05pt;mso-position-horizontal-relative:page;mso-position-vertical-relative:paragraph;z-index:251673600" coordorigin="818,-10007" coordsize="10275,9301">
            <v:shape style="position:absolute;left:2709;top:-8855;width:7061;height:6948" type="#_x0000_t75" stroked="false">
              <v:imagedata r:id="rId24" o:title=""/>
            </v:shape>
            <v:shape style="position:absolute;left:3156;top:-8188;width:5528;height:5525" type="#_x0000_t75" stroked="false">
              <v:imagedata r:id="rId25" o:title=""/>
            </v:shape>
            <v:shape style="position:absolute;left:3936;top:-7247;width:3694;height:3694" type="#_x0000_t75" stroked="false">
              <v:imagedata r:id="rId26" o:title=""/>
            </v:shape>
            <v:shape style="position:absolute;left:4695;top:-6467;width:2250;height:2250" type="#_x0000_t75" stroked="false">
              <v:imagedata r:id="rId27" o:title=""/>
            </v:shape>
            <v:shape style="position:absolute;left:4695;top:-6467;width:2250;height:2250" coordorigin="4695,-6466" coordsize="2250,2250" path="m4695,-5341l4698,-5418,4705,-5494,4718,-5568,4735,-5640,4757,-5711,4783,-5779,4814,-5845,4849,-5909,4887,-5970,4929,-6029,4975,-6084,5024,-6137,5077,-6186,5133,-6232,5191,-6274,5252,-6313,5316,-6347,5382,-6378,5450,-6404,5521,-6426,5593,-6443,5667,-6456,5743,-6464,5820,-6466,5897,-6464,5973,-6456,6047,-6443,6119,-6426,6190,-6404,6258,-6378,6324,-6347,6388,-6313,6449,-6274,6507,-6232,6563,-6186,6616,-6137,6665,-6084,6711,-6029,6753,-5970,6791,-5909,6826,-5845,6857,-5779,6883,-5711,6905,-5640,6922,-5568,6935,-5494,6942,-5418,6945,-5341,6942,-5264,6935,-5189,6922,-5115,6905,-5042,6883,-4972,6857,-4903,6826,-4837,6791,-4774,6753,-4712,6711,-4654,6665,-4598,6616,-4546,6563,-4497,6507,-4451,6449,-4408,6388,-4370,6324,-4335,6258,-4305,6190,-4278,6119,-4256,6047,-4239,5973,-4227,5897,-4219,5820,-4216,5743,-4219,5667,-4227,5593,-4239,5521,-4256,5450,-4278,5382,-4305,5316,-4335,5252,-4370,5191,-4408,5133,-4451,5077,-4497,5024,-4546,4975,-4598,4929,-4654,4887,-4712,4849,-4774,4814,-4837,4783,-4903,4757,-4972,4735,-5042,4718,-5115,4705,-5189,4698,-5264,4695,-5341xe" filled="false" stroked="true" strokeweight="2pt" strokecolor="#f79546">
              <v:path arrowok="t"/>
              <v:stroke dashstyle="solid"/>
            </v:shape>
            <v:shape style="position:absolute;left:1655;top:-9169;width:8600;height:7626" coordorigin="1656,-9169" coordsize="8600,7626" path="m1656,-7247l3557,-7247,3557,-9149,5935,-9169,8354,-9149,8354,-7247,10255,-7247,10255,-3444,8354,-3444,8354,-1543,3557,-1543,3557,-3444,1656,-3444,1656,-7247xe" filled="false" stroked="true" strokeweight="4.5pt" strokecolor="#385d89">
              <v:path arrowok="t"/>
              <v:stroke dashstyle="solid"/>
            </v:shape>
            <v:rect style="position:absolute;left:4880;top:-9987;width:2150;height:818" filled="true" fillcolor="#4f81bc" stroked="false">
              <v:fill type="solid"/>
            </v:rect>
            <v:shape style="position:absolute;left:4900;top:-9894;width:2110;height:634" type="#_x0000_t75" stroked="false">
              <v:imagedata r:id="rId28" o:title=""/>
            </v:shape>
            <v:rect style="position:absolute;left:4880;top:-1544;width:2150;height:818" filled="true" fillcolor="#ff0000" stroked="false">
              <v:fill type="solid"/>
            </v:rect>
            <v:rect style="position:absolute;left:4880;top:-1544;width:2150;height:818" filled="false" stroked="true" strokeweight="2pt" strokecolor="#385d89">
              <v:stroke dashstyle="solid"/>
            </v:rect>
            <v:shape style="position:absolute;left:4900;top:-1453;width:2110;height:636" type="#_x0000_t75" stroked="false">
              <v:imagedata r:id="rId28" o:title=""/>
            </v:shape>
            <v:rect style="position:absolute;left:10254;top:-6431;width:818;height:2150" filled="true" fillcolor="#ffff00" stroked="false">
              <v:fill type="solid"/>
            </v:rect>
            <v:rect style="position:absolute;left:10254;top:-6431;width:818;height:2150" filled="false" stroked="true" strokeweight="2pt" strokecolor="#385d89">
              <v:stroke dashstyle="solid"/>
            </v:rect>
            <v:shape style="position:absolute;left:10346;top:-6413;width:632;height:2112" type="#_x0000_t75" stroked="false">
              <v:imagedata r:id="rId29" o:title=""/>
            </v:shape>
            <v:rect style="position:absolute;left:838;top:-6431;width:818;height:2150" filled="true" fillcolor="#00af50" stroked="false">
              <v:fill type="solid"/>
            </v:rect>
            <v:rect style="position:absolute;left:838;top:-6431;width:818;height:2150" filled="false" stroked="true" strokeweight="2pt" strokecolor="#385d89">
              <v:stroke dashstyle="solid"/>
            </v:rect>
            <v:shape style="position:absolute;left:931;top:-6412;width:632;height:2110" type="#_x0000_t75" stroked="false">
              <v:imagedata r:id="rId30" o:title=""/>
            </v:shape>
            <v:shape style="position:absolute;left:4900;top:-1499;width:2110;height:753" type="#_x0000_t202" filled="false" stroked="false">
              <v:textbox inset="0,0,0,0">
                <w:txbxContent>
                  <w:p>
                    <w:pPr>
                      <w:spacing w:before="145"/>
                      <w:ind w:left="493" w:right="0" w:firstLine="0"/>
                      <w:jc w:val="left"/>
                      <w:rPr>
                        <w:rFonts w:ascii="Calibri"/>
                        <w:b/>
                        <w:sz w:val="36"/>
                      </w:rPr>
                    </w:pPr>
                    <w:r>
                      <w:rPr>
                        <w:rFonts w:ascii="Calibri"/>
                        <w:b/>
                        <w:color w:val="FFFFFF"/>
                        <w:sz w:val="36"/>
                      </w:rPr>
                      <w:t>RUWAY</w:t>
                    </w:r>
                  </w:p>
                </w:txbxContent>
              </v:textbox>
              <w10:wrap type="none"/>
            </v:shape>
            <v:shape style="position:absolute;left:5201;top:-5731;width:1259;height:579" type="#_x0000_t202" filled="false" stroked="false">
              <v:textbox inset="0,0,0,0">
                <w:txbxContent>
                  <w:p>
                    <w:pPr>
                      <w:spacing w:line="244" w:lineRule="exact" w:before="0"/>
                      <w:ind w:left="0" w:right="21" w:firstLine="0"/>
                      <w:jc w:val="center"/>
                      <w:rPr>
                        <w:rFonts w:ascii="Calibri"/>
                        <w:b/>
                        <w:sz w:val="24"/>
                      </w:rPr>
                    </w:pPr>
                    <w:r>
                      <w:rPr>
                        <w:rFonts w:ascii="Calibri"/>
                        <w:b/>
                        <w:sz w:val="24"/>
                      </w:rPr>
                      <w:t>Nivel</w:t>
                    </w:r>
                  </w:p>
                  <w:p>
                    <w:pPr>
                      <w:spacing w:line="289" w:lineRule="exact" w:before="45"/>
                      <w:ind w:left="0" w:right="18" w:firstLine="0"/>
                      <w:jc w:val="center"/>
                      <w:rPr>
                        <w:rFonts w:ascii="Calibri"/>
                        <w:b/>
                        <w:sz w:val="24"/>
                      </w:rPr>
                    </w:pPr>
                    <w:r>
                      <w:rPr>
                        <w:rFonts w:ascii="Calibri"/>
                        <w:b/>
                        <w:sz w:val="24"/>
                      </w:rPr>
                      <w:t>Institucional</w:t>
                    </w:r>
                  </w:p>
                </w:txbxContent>
              </v:textbox>
              <w10:wrap type="none"/>
            </v:shape>
            <v:shape style="position:absolute;left:4933;top:-6922;width:1998;height:221" type="#_x0000_t202" filled="false" stroked="false">
              <v:textbox inset="0,0,0,0">
                <w:txbxContent>
                  <w:p>
                    <w:pPr>
                      <w:spacing w:line="221" w:lineRule="exact" w:before="0"/>
                      <w:ind w:left="0" w:right="0" w:firstLine="0"/>
                      <w:jc w:val="left"/>
                      <w:rPr>
                        <w:rFonts w:ascii="Calibri" w:hAnsi="Calibri"/>
                        <w:sz w:val="22"/>
                      </w:rPr>
                    </w:pPr>
                    <w:r>
                      <w:rPr>
                        <w:rFonts w:ascii="Calibri" w:hAnsi="Calibri"/>
                        <w:sz w:val="22"/>
                      </w:rPr>
                      <w:t>Nivel Nación Quechua</w:t>
                    </w:r>
                  </w:p>
                </w:txbxContent>
              </v:textbox>
              <w10:wrap type="none"/>
            </v:shape>
            <v:shape style="position:absolute;left:4820;top:-7604;width:2660;height:221" type="#_x0000_t202" filled="false" stroked="false">
              <v:textbox inset="0,0,0,0">
                <w:txbxContent>
                  <w:p>
                    <w:pPr>
                      <w:spacing w:line="221" w:lineRule="exact" w:before="0"/>
                      <w:ind w:left="0" w:right="0" w:firstLine="0"/>
                      <w:jc w:val="left"/>
                      <w:rPr>
                        <w:rFonts w:ascii="Calibri"/>
                        <w:sz w:val="22"/>
                      </w:rPr>
                    </w:pPr>
                    <w:r>
                      <w:rPr>
                        <w:rFonts w:ascii="Calibri"/>
                        <w:sz w:val="22"/>
                      </w:rPr>
                      <w:t>Nivel del Estado Plurinacional</w:t>
                    </w:r>
                  </w:p>
                </w:txbxContent>
              </v:textbox>
              <w10:wrap type="none"/>
            </v:shape>
            <v:shape style="position:absolute;left:5225;top:-8638;width:1924;height:221" type="#_x0000_t202" filled="false" stroked="false">
              <v:textbox inset="0,0,0,0">
                <w:txbxContent>
                  <w:p>
                    <w:pPr>
                      <w:spacing w:line="221" w:lineRule="exact" w:before="0"/>
                      <w:ind w:left="0" w:right="0" w:firstLine="0"/>
                      <w:jc w:val="left"/>
                      <w:rPr>
                        <w:rFonts w:ascii="Calibri"/>
                        <w:sz w:val="22"/>
                      </w:rPr>
                    </w:pPr>
                    <w:r>
                      <w:rPr>
                        <w:rFonts w:ascii="Calibri"/>
                        <w:sz w:val="22"/>
                      </w:rPr>
                      <w:t>Nivel Macro Regional</w:t>
                    </w:r>
                  </w:p>
                </w:txbxContent>
              </v:textbox>
              <w10:wrap type="none"/>
            </v:shape>
            <v:shape style="position:absolute;left:4880;top:-9987;width:2150;height:828" type="#_x0000_t202" filled="false" stroked="true" strokeweight="2pt" strokecolor="#385d89">
              <v:textbox inset="0,0,0,0">
                <w:txbxContent>
                  <w:p>
                    <w:pPr>
                      <w:spacing w:before="167"/>
                      <w:ind w:left="474" w:right="0" w:firstLine="0"/>
                      <w:jc w:val="left"/>
                      <w:rPr>
                        <w:rFonts w:ascii="Calibri"/>
                        <w:b/>
                        <w:sz w:val="36"/>
                      </w:rPr>
                    </w:pPr>
                    <w:r>
                      <w:rPr>
                        <w:rFonts w:ascii="Calibri"/>
                        <w:b/>
                        <w:color w:val="FFFFFF"/>
                        <w:sz w:val="36"/>
                      </w:rPr>
                      <w:t>MUNAY</w:t>
                    </w:r>
                  </w:p>
                </w:txbxContent>
              </v:textbox>
              <v:stroke dashstyle="solid"/>
              <w10:wrap type="none"/>
            </v:shape>
            <w10:wrap type="none"/>
          </v:group>
        </w:pict>
      </w:r>
      <w:r>
        <w:rPr/>
        <w:t>IMPLEMENTACION POR NIVELES TERRITORIALES</w:t>
      </w:r>
    </w:p>
    <w:p>
      <w:pPr>
        <w:pStyle w:val="ListParagraph"/>
        <w:numPr>
          <w:ilvl w:val="2"/>
          <w:numId w:val="49"/>
        </w:numPr>
        <w:tabs>
          <w:tab w:pos="1802" w:val="left" w:leader="none"/>
        </w:tabs>
        <w:spacing w:line="240" w:lineRule="auto" w:before="100" w:after="0"/>
        <w:ind w:left="1802" w:right="0" w:hanging="720"/>
        <w:jc w:val="left"/>
        <w:rPr>
          <w:b/>
          <w:sz w:val="24"/>
        </w:rPr>
      </w:pPr>
      <w:r>
        <w:rPr>
          <w:b/>
          <w:sz w:val="24"/>
        </w:rPr>
        <w:t>LA YACHAYLLAJTA: TERRITORIALIDAD LOCAL</w:t>
      </w:r>
    </w:p>
    <w:p>
      <w:pPr>
        <w:pStyle w:val="BodyText"/>
        <w:spacing w:before="1"/>
        <w:rPr>
          <w:b/>
          <w:sz w:val="21"/>
        </w:rPr>
      </w:pPr>
    </w:p>
    <w:p>
      <w:pPr>
        <w:pStyle w:val="BodyText"/>
        <w:spacing w:line="276" w:lineRule="auto"/>
        <w:ind w:left="1082" w:right="849"/>
        <w:jc w:val="both"/>
      </w:pPr>
      <w:r>
        <w:rPr/>
        <w:t>La estructura organizativa del PEI seguirá los mismos niveles planteados para el análisis y fortalecimiento y al mismo tiempo de estructura Chakana, esto quiere decir que desde la estructura base de la Institución, es decir el Campus de Chimoré, será de visión Chakana, pero ya no de manera aislada de la territorialidad donde está inmersa. La territorilidad del trópico Chapareño es la primera territorialidad, por tanto el primer nivel de organización territorial comunitaria se debe dar en esta territorialidad, en este caso comprende los 5 municipios de la mancomunidad del</w:t>
      </w:r>
    </w:p>
    <w:p>
      <w:pPr>
        <w:spacing w:after="0" w:line="276" w:lineRule="auto"/>
        <w:jc w:val="both"/>
        <w:sectPr>
          <w:pgSz w:w="11910" w:h="16840"/>
          <w:pgMar w:header="0" w:footer="922" w:top="1580" w:bottom="1200" w:left="620" w:right="280"/>
        </w:sectPr>
      </w:pPr>
    </w:p>
    <w:p>
      <w:pPr>
        <w:pStyle w:val="BodyText"/>
        <w:spacing w:line="278" w:lineRule="auto" w:before="76"/>
        <w:ind w:left="1082" w:right="848"/>
        <w:jc w:val="both"/>
      </w:pPr>
      <w:r>
        <w:rPr/>
        <w:t>trópico cochabambino, a partir de esta base se establece el YACHAYLLAJTA UNIBOL Quechua “Casimiro Huanca”.</w:t>
      </w:r>
    </w:p>
    <w:p>
      <w:pPr>
        <w:pStyle w:val="BodyText"/>
        <w:spacing w:line="276" w:lineRule="auto" w:before="195"/>
        <w:ind w:left="1082" w:right="847"/>
        <w:jc w:val="both"/>
      </w:pPr>
      <w:r>
        <w:rPr/>
        <w:t>La denominación de YACHAYLLAJTA tiene su explicación. Hasta ahora se ha estado utilizando en lengua quechua el denominativo de Yachay Wasi para referirse a la universidad, sin embargo, con este mismo denominativo se refieren, en quechua, a las escuelas y colegios regulares, por un lado hace falta un propio denominativo para la Universidad Quechua en ese sentido y a tono con las corrientes actuales de denominación de Ciudadelas del Conocimiento, ciudadelas tecnológicas etc. para resaltar el trabajo concentrado de conocimiento y tecnologías, en nuestro caso se busca una propia denominación como territorialidad de la Sabiduría o ciudadela de sabiduría: Yachayllajta. Este viene a ser la territorialidad articuladora de las demás territorialidades de incidencia de la Nación Quechua desde su Chawpi de Sabiduría o educación Superior, como se describe en el gráfico siguiente:</w:t>
      </w:r>
    </w:p>
    <w:p>
      <w:pPr>
        <w:pStyle w:val="BodyText"/>
        <w:rPr>
          <w:sz w:val="26"/>
        </w:rPr>
      </w:pPr>
    </w:p>
    <w:p>
      <w:pPr>
        <w:pStyle w:val="BodyText"/>
        <w:spacing w:before="5"/>
        <w:rPr>
          <w:sz w:val="36"/>
        </w:rPr>
      </w:pPr>
    </w:p>
    <w:p>
      <w:pPr>
        <w:pStyle w:val="Heading3"/>
        <w:ind w:left="720" w:right="493"/>
        <w:jc w:val="center"/>
      </w:pPr>
      <w:r>
        <w:rPr/>
        <w:t>TERRITORIALIDAD  LOCAL</w:t>
      </w:r>
    </w:p>
    <w:p>
      <w:pPr>
        <w:pStyle w:val="BodyText"/>
        <w:spacing w:before="4"/>
        <w:rPr>
          <w:b/>
          <w:sz w:val="27"/>
        </w:rPr>
      </w:pPr>
      <w:r>
        <w:rPr/>
        <w:drawing>
          <wp:anchor distT="0" distB="0" distL="0" distR="0" allowOverlap="1" layoutInCell="1" locked="0" behindDoc="0" simplePos="0" relativeHeight="18">
            <wp:simplePos x="0" y="0"/>
            <wp:positionH relativeFrom="page">
              <wp:posOffset>1156969</wp:posOffset>
            </wp:positionH>
            <wp:positionV relativeFrom="paragraph">
              <wp:posOffset>224774</wp:posOffset>
            </wp:positionV>
            <wp:extent cx="5537226" cy="3803141"/>
            <wp:effectExtent l="0" t="0" r="0" b="0"/>
            <wp:wrapTopAndBottom/>
            <wp:docPr id="5" name="image26.jpeg"/>
            <wp:cNvGraphicFramePr>
              <a:graphicFrameLocks noChangeAspect="1"/>
            </wp:cNvGraphicFramePr>
            <a:graphic>
              <a:graphicData uri="http://schemas.openxmlformats.org/drawingml/2006/picture">
                <pic:pic>
                  <pic:nvPicPr>
                    <pic:cNvPr id="6" name="image26.jpeg"/>
                    <pic:cNvPicPr/>
                  </pic:nvPicPr>
                  <pic:blipFill>
                    <a:blip r:embed="rId31" cstate="print"/>
                    <a:stretch>
                      <a:fillRect/>
                    </a:stretch>
                  </pic:blipFill>
                  <pic:spPr>
                    <a:xfrm>
                      <a:off x="0" y="0"/>
                      <a:ext cx="5537226" cy="3803141"/>
                    </a:xfrm>
                    <a:prstGeom prst="rect">
                      <a:avLst/>
                    </a:prstGeom>
                  </pic:spPr>
                </pic:pic>
              </a:graphicData>
            </a:graphic>
          </wp:anchor>
        </w:drawing>
      </w:r>
    </w:p>
    <w:p>
      <w:pPr>
        <w:pStyle w:val="BodyText"/>
        <w:spacing w:before="10"/>
        <w:rPr>
          <w:b/>
          <w:sz w:val="22"/>
        </w:rPr>
      </w:pPr>
    </w:p>
    <w:p>
      <w:pPr>
        <w:pStyle w:val="BodyText"/>
        <w:spacing w:line="276" w:lineRule="auto"/>
        <w:ind w:left="1082" w:right="858"/>
        <w:jc w:val="both"/>
      </w:pPr>
      <w:r>
        <w:rPr/>
        <w:t>Este primer nivel territorial es también el primer nivel de fortalecimiento institucional Académico.</w:t>
      </w:r>
    </w:p>
    <w:p>
      <w:pPr>
        <w:spacing w:after="0" w:line="276" w:lineRule="auto"/>
        <w:jc w:val="both"/>
        <w:sectPr>
          <w:pgSz w:w="11910" w:h="16840"/>
          <w:pgMar w:header="0" w:footer="922" w:top="1320" w:bottom="1200" w:left="620" w:right="280"/>
        </w:sectPr>
      </w:pPr>
    </w:p>
    <w:p>
      <w:pPr>
        <w:pStyle w:val="Heading3"/>
        <w:numPr>
          <w:ilvl w:val="2"/>
          <w:numId w:val="49"/>
        </w:numPr>
        <w:tabs>
          <w:tab w:pos="1802" w:val="left" w:leader="none"/>
        </w:tabs>
        <w:spacing w:line="240" w:lineRule="auto" w:before="76" w:after="0"/>
        <w:ind w:left="1802" w:right="0" w:hanging="720"/>
        <w:jc w:val="left"/>
      </w:pPr>
      <w:r>
        <w:rPr/>
        <w:t>TERRITORIALIDAD</w:t>
      </w:r>
      <w:r>
        <w:rPr>
          <w:spacing w:val="1"/>
        </w:rPr>
        <w:t> </w:t>
      </w:r>
      <w:r>
        <w:rPr/>
        <w:t>QUECHUA</w:t>
      </w:r>
    </w:p>
    <w:p>
      <w:pPr>
        <w:pStyle w:val="BodyText"/>
        <w:spacing w:before="1"/>
        <w:rPr>
          <w:b/>
          <w:sz w:val="21"/>
        </w:rPr>
      </w:pPr>
    </w:p>
    <w:p>
      <w:pPr>
        <w:pStyle w:val="BodyText"/>
        <w:spacing w:line="276" w:lineRule="auto"/>
        <w:ind w:left="1082" w:right="847"/>
        <w:jc w:val="both"/>
      </w:pPr>
      <w:r>
        <w:rPr/>
        <w:t>El segundo nivel de territorialidad, corresponde a las territorialidades de la Nación Quechua. A partir de los departamentos definidos oficialmente como “quechuas” se plantea también tomar en cuenta los municipios del nor oeste de Santa Cruz, especialmente los aledaños a Cochabamba habitados por quechuas y en muchos casos municipios gobernados por quechuas, municipios de los cuales tenemos presencia de alumnos en nuestra Universidad.</w:t>
      </w:r>
    </w:p>
    <w:p>
      <w:pPr>
        <w:pStyle w:val="BodyText"/>
        <w:spacing w:line="276" w:lineRule="auto" w:before="200"/>
        <w:ind w:left="1082" w:right="848"/>
        <w:jc w:val="both"/>
      </w:pPr>
      <w:r>
        <w:rPr/>
        <w:t>Estas territorialidades son las que orgánicamente, alimentan de alumnos a la Unibol Quechua y constituyen la base territorial de la Universidad. Es en función de estrategias productivas comunitarias de las organizaciones y los gobiernos autonómicos subnacionales quechuas, en función de programas y sistemas productivos de las territorialidades expresados en Complejos Productivos Comunitarios, que se organiza las acciones académicas. No todos los contenidos salen de la mente de los académicos, más bien de esta interacción territorial se alimenta la Unibol Quechua en la recuperación de sabidurías, tecnologías conocimientos, tradiciones orales y documentadas de diversas maneras, que nos permiten alimentar, no solo de manera física, sino también de manera energética, espiritual a nuestros sures de Runas de la Nación Quechua.</w:t>
      </w: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19">
            <wp:simplePos x="0" y="0"/>
            <wp:positionH relativeFrom="page">
              <wp:posOffset>1174148</wp:posOffset>
            </wp:positionH>
            <wp:positionV relativeFrom="paragraph">
              <wp:posOffset>164478</wp:posOffset>
            </wp:positionV>
            <wp:extent cx="5348203" cy="4287202"/>
            <wp:effectExtent l="0" t="0" r="0" b="0"/>
            <wp:wrapTopAndBottom/>
            <wp:docPr id="7" name="image27.jpeg"/>
            <wp:cNvGraphicFramePr>
              <a:graphicFrameLocks noChangeAspect="1"/>
            </wp:cNvGraphicFramePr>
            <a:graphic>
              <a:graphicData uri="http://schemas.openxmlformats.org/drawingml/2006/picture">
                <pic:pic>
                  <pic:nvPicPr>
                    <pic:cNvPr id="8" name="image27.jpeg"/>
                    <pic:cNvPicPr/>
                  </pic:nvPicPr>
                  <pic:blipFill>
                    <a:blip r:embed="rId32" cstate="print"/>
                    <a:stretch>
                      <a:fillRect/>
                    </a:stretch>
                  </pic:blipFill>
                  <pic:spPr>
                    <a:xfrm>
                      <a:off x="0" y="0"/>
                      <a:ext cx="5348203" cy="4287202"/>
                    </a:xfrm>
                    <a:prstGeom prst="rect">
                      <a:avLst/>
                    </a:prstGeom>
                  </pic:spPr>
                </pic:pic>
              </a:graphicData>
            </a:graphic>
          </wp:anchor>
        </w:drawing>
      </w:r>
    </w:p>
    <w:p>
      <w:pPr>
        <w:spacing w:after="0"/>
        <w:rPr>
          <w:sz w:val="19"/>
        </w:rPr>
        <w:sectPr>
          <w:pgSz w:w="11910" w:h="16840"/>
          <w:pgMar w:header="0" w:footer="922" w:top="1320" w:bottom="1200" w:left="620" w:right="280"/>
        </w:sectPr>
      </w:pPr>
    </w:p>
    <w:p>
      <w:pPr>
        <w:pStyle w:val="BodyText"/>
        <w:spacing w:line="276" w:lineRule="auto" w:before="76"/>
        <w:ind w:left="1082" w:right="847"/>
        <w:jc w:val="both"/>
      </w:pPr>
      <w:r>
        <w:rPr/>
        <w:t>La Nación Quechua en Bolivia es la razón de ser de la Unibol Quechua, de la misma manera su territorialidad es la base territorial de la Unibol. La Nación Quechua tiene sus territorialidades continuas y discontinuas dentro del Estado boliviano, estas territorialidades deben ser la base de la organización territorial de la acción e incidencia de la UNIBOL Quechua. Cuando hablamos de territorialidades, n nos referimos a la concepción geopolítica occidental con la que nos han enseñado a hacer mapas territoriales con fronteras cerradas, más bien la concepción de territorialidad de nuestras culturas es flexible y dinámica, por eso la realidad que vivimos nos muestra que los pueblos indígenas estamos en diversos espacios y en la vida moderna la mayoría nos encontramos en las ciudades. Hoy en día los quechuas están extendidos por todo el territorio boliviano. Tomamos como referencia los tres departamentos denominados quechuas y también incorporamos sectores geográficos de significativa población como el norte de La Paz y el norte oeste de Santa Cruz. El gráfico siguiente muestra este</w:t>
      </w:r>
      <w:r>
        <w:rPr>
          <w:spacing w:val="-6"/>
        </w:rPr>
        <w:t> </w:t>
      </w:r>
      <w:r>
        <w:rPr/>
        <w:t>diseño.</w:t>
      </w:r>
    </w:p>
    <w:p>
      <w:pPr>
        <w:pStyle w:val="BodyText"/>
        <w:spacing w:before="2"/>
        <w:rPr>
          <w:sz w:val="14"/>
        </w:rPr>
      </w:pPr>
      <w:r>
        <w:rPr/>
        <w:drawing>
          <wp:anchor distT="0" distB="0" distL="0" distR="0" allowOverlap="1" layoutInCell="1" locked="0" behindDoc="0" simplePos="0" relativeHeight="20">
            <wp:simplePos x="0" y="0"/>
            <wp:positionH relativeFrom="page">
              <wp:posOffset>1918970</wp:posOffset>
            </wp:positionH>
            <wp:positionV relativeFrom="paragraph">
              <wp:posOffset>128636</wp:posOffset>
            </wp:positionV>
            <wp:extent cx="4097197" cy="3829811"/>
            <wp:effectExtent l="0" t="0" r="0" b="0"/>
            <wp:wrapTopAndBottom/>
            <wp:docPr id="9" name="image28.jpeg"/>
            <wp:cNvGraphicFramePr>
              <a:graphicFrameLocks noChangeAspect="1"/>
            </wp:cNvGraphicFramePr>
            <a:graphic>
              <a:graphicData uri="http://schemas.openxmlformats.org/drawingml/2006/picture">
                <pic:pic>
                  <pic:nvPicPr>
                    <pic:cNvPr id="10" name="image28.jpeg"/>
                    <pic:cNvPicPr/>
                  </pic:nvPicPr>
                  <pic:blipFill>
                    <a:blip r:embed="rId33" cstate="print"/>
                    <a:stretch>
                      <a:fillRect/>
                    </a:stretch>
                  </pic:blipFill>
                  <pic:spPr>
                    <a:xfrm>
                      <a:off x="0" y="0"/>
                      <a:ext cx="4097197" cy="3829811"/>
                    </a:xfrm>
                    <a:prstGeom prst="rect">
                      <a:avLst/>
                    </a:prstGeom>
                  </pic:spPr>
                </pic:pic>
              </a:graphicData>
            </a:graphic>
          </wp:anchor>
        </w:drawing>
      </w:r>
    </w:p>
    <w:p>
      <w:pPr>
        <w:pStyle w:val="BodyText"/>
        <w:rPr>
          <w:sz w:val="26"/>
        </w:rPr>
      </w:pPr>
    </w:p>
    <w:p>
      <w:pPr>
        <w:pStyle w:val="BodyText"/>
        <w:spacing w:before="6"/>
        <w:rPr>
          <w:sz w:val="35"/>
        </w:rPr>
      </w:pPr>
    </w:p>
    <w:p>
      <w:pPr>
        <w:pStyle w:val="BodyText"/>
        <w:spacing w:line="276" w:lineRule="auto"/>
        <w:ind w:left="1082" w:right="853"/>
        <w:jc w:val="both"/>
      </w:pPr>
      <w:r>
        <w:rPr/>
        <w:t>Las territorialidades de las diversas organizaciones quechuas en Bolivia, son la base territorial de la Unibol Quechua y estas deben estar articuladas al Chawpi a través de los planes y programas productivos de las organizaciones y de los gobiernos autónomos subnacionales. Los diversos sistemas productivos de estas territorialidades, también constituyen la base temática de los trabajos de investigación, desarrollo de tecnologías y proyectos productivos comunitarios de la Unibol Quechua.</w:t>
      </w:r>
    </w:p>
    <w:p>
      <w:pPr>
        <w:spacing w:after="0" w:line="276" w:lineRule="auto"/>
        <w:jc w:val="both"/>
        <w:sectPr>
          <w:pgSz w:w="11910" w:h="16840"/>
          <w:pgMar w:header="0" w:footer="922" w:top="1320" w:bottom="1200" w:left="620" w:right="280"/>
        </w:sectPr>
      </w:pPr>
    </w:p>
    <w:p>
      <w:pPr>
        <w:pStyle w:val="BodyText"/>
        <w:spacing w:line="276" w:lineRule="auto" w:before="76"/>
        <w:ind w:left="1082" w:right="849"/>
        <w:jc w:val="both"/>
      </w:pPr>
      <w:r>
        <w:rPr/>
        <w:t>La Estructura de articulación entre las diversas territorialidades de la nación Quechua y el Yachayllajta articulador son los sistemas productivos comunitarios de las territorialidades, que a la vez deben ser la base para la construcción de Complejos Productivos Comunitarios. Se trata de hacer gestión comunitaria productiva del territorio quechua y esta debe ser la base para la Gestión de fortalecimiento del estado Plurinacional. Expresado en gráficos, este intersistema se reflejaría de la siguiente</w:t>
      </w:r>
      <w:r>
        <w:rPr>
          <w:spacing w:val="3"/>
        </w:rPr>
        <w:t> </w:t>
      </w:r>
      <w:r>
        <w:rPr/>
        <w:t>manera:</w:t>
      </w:r>
    </w:p>
    <w:p>
      <w:pPr>
        <w:pStyle w:val="BodyText"/>
        <w:spacing w:before="2"/>
        <w:rPr>
          <w:sz w:val="14"/>
        </w:rPr>
      </w:pPr>
      <w:r>
        <w:rPr/>
        <w:drawing>
          <wp:anchor distT="0" distB="0" distL="0" distR="0" allowOverlap="1" layoutInCell="1" locked="0" behindDoc="0" simplePos="0" relativeHeight="21">
            <wp:simplePos x="0" y="0"/>
            <wp:positionH relativeFrom="page">
              <wp:posOffset>1080135</wp:posOffset>
            </wp:positionH>
            <wp:positionV relativeFrom="paragraph">
              <wp:posOffset>128643</wp:posOffset>
            </wp:positionV>
            <wp:extent cx="5805199" cy="3589782"/>
            <wp:effectExtent l="0" t="0" r="0" b="0"/>
            <wp:wrapTopAndBottom/>
            <wp:docPr id="11" name="image29.jpeg"/>
            <wp:cNvGraphicFramePr>
              <a:graphicFrameLocks noChangeAspect="1"/>
            </wp:cNvGraphicFramePr>
            <a:graphic>
              <a:graphicData uri="http://schemas.openxmlformats.org/drawingml/2006/picture">
                <pic:pic>
                  <pic:nvPicPr>
                    <pic:cNvPr id="12" name="image29.jpeg"/>
                    <pic:cNvPicPr/>
                  </pic:nvPicPr>
                  <pic:blipFill>
                    <a:blip r:embed="rId34" cstate="print"/>
                    <a:stretch>
                      <a:fillRect/>
                    </a:stretch>
                  </pic:blipFill>
                  <pic:spPr>
                    <a:xfrm>
                      <a:off x="0" y="0"/>
                      <a:ext cx="5805199" cy="3589782"/>
                    </a:xfrm>
                    <a:prstGeom prst="rect">
                      <a:avLst/>
                    </a:prstGeom>
                  </pic:spPr>
                </pic:pic>
              </a:graphicData>
            </a:graphic>
          </wp:anchor>
        </w:drawing>
      </w:r>
    </w:p>
    <w:p>
      <w:pPr>
        <w:pStyle w:val="BodyText"/>
        <w:rPr>
          <w:sz w:val="26"/>
        </w:rPr>
      </w:pPr>
    </w:p>
    <w:p>
      <w:pPr>
        <w:pStyle w:val="BodyText"/>
        <w:rPr>
          <w:sz w:val="26"/>
        </w:rPr>
      </w:pPr>
    </w:p>
    <w:p>
      <w:pPr>
        <w:pStyle w:val="Heading3"/>
        <w:numPr>
          <w:ilvl w:val="2"/>
          <w:numId w:val="49"/>
        </w:numPr>
        <w:tabs>
          <w:tab w:pos="1802" w:val="left" w:leader="none"/>
        </w:tabs>
        <w:spacing w:line="240" w:lineRule="auto" w:before="179" w:after="0"/>
        <w:ind w:left="1802" w:right="0" w:hanging="720"/>
        <w:jc w:val="left"/>
      </w:pPr>
      <w:r>
        <w:rPr/>
        <w:t>TERRITORIALIDAD</w:t>
      </w:r>
      <w:r>
        <w:rPr>
          <w:spacing w:val="-1"/>
        </w:rPr>
        <w:t> </w:t>
      </w:r>
      <w:r>
        <w:rPr/>
        <w:t>PLURINACIONAL</w:t>
      </w:r>
    </w:p>
    <w:p>
      <w:pPr>
        <w:pStyle w:val="BodyText"/>
        <w:spacing w:before="10"/>
        <w:rPr>
          <w:b/>
          <w:sz w:val="20"/>
        </w:rPr>
      </w:pPr>
    </w:p>
    <w:p>
      <w:pPr>
        <w:pStyle w:val="BodyText"/>
        <w:spacing w:line="276" w:lineRule="auto"/>
        <w:ind w:left="1082" w:right="846"/>
        <w:jc w:val="both"/>
      </w:pPr>
      <w:r>
        <w:rPr/>
        <w:t>Esta base territorial organizativa comunitaria de la Unibol Quechua, le sirve para proyectar el siguiente nivel que viene a ser el del estado Plurinacional. Sobre esta misma base, se construye el otro nivel regional e internacional como se describe en puntos posteriores. El propósito de este PEI, es consolidar a la Unibol Quechua como la Ciudadela Tecnológica de la Sabiduría Quechua para proyectar a nivel nacional e internacional otra visión y otra forma de ciencia y Tecnología, que más bien esté ligado a responder a los grandes desafíos de la humanidad y del planeta, donde nosotros con la herencia de nuestros ancestros podamos aportar con lo que nos</w:t>
      </w:r>
      <w:r>
        <w:rPr>
          <w:spacing w:val="-1"/>
        </w:rPr>
        <w:t> </w:t>
      </w:r>
      <w:r>
        <w:rPr/>
        <w:t>corresponde.</w:t>
      </w:r>
    </w:p>
    <w:p>
      <w:pPr>
        <w:pStyle w:val="BodyText"/>
        <w:spacing w:line="276" w:lineRule="auto" w:before="202"/>
        <w:ind w:left="1082" w:right="856"/>
        <w:jc w:val="both"/>
      </w:pPr>
      <w:r>
        <w:rPr/>
        <w:t>La Gestión comunitaria y productiva del territorio, se constituye en la base para la construcción de instrumentos de apoyo al fortalecimiento del Estado Plurinacional que es el próximo paso-</w:t>
      </w:r>
    </w:p>
    <w:p>
      <w:pPr>
        <w:spacing w:after="0" w:line="276" w:lineRule="auto"/>
        <w:jc w:val="both"/>
        <w:sectPr>
          <w:pgSz w:w="11910" w:h="16840"/>
          <w:pgMar w:header="0" w:footer="922" w:top="1320" w:bottom="1200" w:left="620" w:right="280"/>
        </w:sectPr>
      </w:pPr>
    </w:p>
    <w:p>
      <w:pPr>
        <w:pStyle w:val="BodyText"/>
        <w:spacing w:line="276" w:lineRule="auto" w:before="76"/>
        <w:ind w:left="1082" w:right="848"/>
        <w:jc w:val="both"/>
      </w:pPr>
      <w:r>
        <w:rPr/>
        <w:t>Solo teniendo una base territorial organizativa fuerte y eficiente se puede plantear el aporte efectivo al Estado Plurinacional, el principal aporte desde la nación Quechua a través de la Unibol Quechua, debe ser de sabidurías tecnológicas desde la cosmovisión quechua, en este momento, se refiere a tecnologías que hagan posible alcanzar la producción comunitaria saludable que aporte a la erradicación del hambre y el empobrecimiento en el que nos han dejado los estados coloniales y neoliberales. En este punto se puede hacer realidad los principios de reciprocidad y complementariedad a nivel Macro de Ayni, Mink’a, Mit’a etc. con el estado Plurinacional, en este punto también se hace posible la incidencia en las políticas de Estado como los planteados en puntos anteriores cuales</w:t>
      </w:r>
      <w:r>
        <w:rPr>
          <w:spacing w:val="-10"/>
        </w:rPr>
        <w:t> </w:t>
      </w:r>
      <w:r>
        <w:rPr/>
        <w:t>son:</w:t>
      </w:r>
    </w:p>
    <w:p>
      <w:pPr>
        <w:pStyle w:val="ListParagraph"/>
        <w:numPr>
          <w:ilvl w:val="0"/>
          <w:numId w:val="50"/>
        </w:numPr>
        <w:tabs>
          <w:tab w:pos="1801" w:val="left" w:leader="none"/>
          <w:tab w:pos="1802" w:val="left" w:leader="none"/>
        </w:tabs>
        <w:spacing w:line="264" w:lineRule="auto" w:before="200" w:after="0"/>
        <w:ind w:left="1802" w:right="858" w:hanging="360"/>
        <w:jc w:val="left"/>
        <w:rPr>
          <w:sz w:val="24"/>
        </w:rPr>
      </w:pPr>
      <w:r>
        <w:rPr>
          <w:sz w:val="24"/>
        </w:rPr>
        <w:t>Integrase en la Agenda patriótica 2025, aportando con nuestra identidad en la lucha contra el empobrecimiento</w:t>
      </w:r>
      <w:r>
        <w:rPr>
          <w:spacing w:val="-4"/>
          <w:sz w:val="24"/>
        </w:rPr>
        <w:t> </w:t>
      </w:r>
      <w:r>
        <w:rPr>
          <w:sz w:val="24"/>
        </w:rPr>
        <w:t>heredado.</w:t>
      </w:r>
    </w:p>
    <w:p>
      <w:pPr>
        <w:pStyle w:val="ListParagraph"/>
        <w:numPr>
          <w:ilvl w:val="0"/>
          <w:numId w:val="50"/>
        </w:numPr>
        <w:tabs>
          <w:tab w:pos="1801" w:val="left" w:leader="none"/>
          <w:tab w:pos="1802" w:val="left" w:leader="none"/>
        </w:tabs>
        <w:spacing w:line="240" w:lineRule="auto" w:before="13" w:after="0"/>
        <w:ind w:left="1802" w:right="0" w:hanging="360"/>
        <w:jc w:val="left"/>
        <w:rPr>
          <w:sz w:val="24"/>
        </w:rPr>
      </w:pPr>
      <w:r>
        <w:rPr>
          <w:sz w:val="24"/>
        </w:rPr>
        <w:t>Interacción con los nuevos gobiernos y autonomías</w:t>
      </w:r>
      <w:r>
        <w:rPr>
          <w:spacing w:val="-6"/>
          <w:sz w:val="24"/>
        </w:rPr>
        <w:t> </w:t>
      </w:r>
      <w:r>
        <w:rPr>
          <w:sz w:val="24"/>
        </w:rPr>
        <w:t>subnacionales</w:t>
      </w:r>
    </w:p>
    <w:p>
      <w:pPr>
        <w:pStyle w:val="ListParagraph"/>
        <w:numPr>
          <w:ilvl w:val="0"/>
          <w:numId w:val="50"/>
        </w:numPr>
        <w:tabs>
          <w:tab w:pos="1801" w:val="left" w:leader="none"/>
          <w:tab w:pos="1802" w:val="left" w:leader="none"/>
        </w:tabs>
        <w:spacing w:line="261" w:lineRule="auto" w:before="28" w:after="0"/>
        <w:ind w:left="1802" w:right="857" w:hanging="360"/>
        <w:jc w:val="left"/>
        <w:rPr>
          <w:sz w:val="24"/>
        </w:rPr>
      </w:pPr>
      <w:r>
        <w:rPr>
          <w:sz w:val="24"/>
        </w:rPr>
        <w:t>Producción saludable y economía comunitaria como respuesta a Sembrando Bolivia</w:t>
      </w:r>
    </w:p>
    <w:p>
      <w:pPr>
        <w:pStyle w:val="ListParagraph"/>
        <w:numPr>
          <w:ilvl w:val="0"/>
          <w:numId w:val="50"/>
        </w:numPr>
        <w:tabs>
          <w:tab w:pos="1801" w:val="left" w:leader="none"/>
          <w:tab w:pos="1802" w:val="left" w:leader="none"/>
        </w:tabs>
        <w:spacing w:line="240" w:lineRule="auto" w:before="18" w:after="0"/>
        <w:ind w:left="1802" w:right="0" w:hanging="360"/>
        <w:jc w:val="left"/>
        <w:rPr>
          <w:sz w:val="24"/>
        </w:rPr>
      </w:pPr>
      <w:r>
        <w:rPr>
          <w:sz w:val="24"/>
        </w:rPr>
        <w:t>Aplicación de la Ley 144 de Revolución Productiva</w:t>
      </w:r>
      <w:r>
        <w:rPr>
          <w:spacing w:val="-10"/>
          <w:sz w:val="24"/>
        </w:rPr>
        <w:t> </w:t>
      </w:r>
      <w:r>
        <w:rPr>
          <w:sz w:val="24"/>
        </w:rPr>
        <w:t>agropecuaria</w:t>
      </w:r>
    </w:p>
    <w:p>
      <w:pPr>
        <w:pStyle w:val="ListParagraph"/>
        <w:numPr>
          <w:ilvl w:val="0"/>
          <w:numId w:val="50"/>
        </w:numPr>
        <w:tabs>
          <w:tab w:pos="1801" w:val="left" w:leader="none"/>
          <w:tab w:pos="1802" w:val="left" w:leader="none"/>
        </w:tabs>
        <w:spacing w:line="240" w:lineRule="auto" w:before="27" w:after="0"/>
        <w:ind w:left="1802" w:right="0" w:hanging="360"/>
        <w:jc w:val="left"/>
        <w:rPr>
          <w:sz w:val="24"/>
        </w:rPr>
      </w:pPr>
      <w:r>
        <w:rPr>
          <w:sz w:val="24"/>
        </w:rPr>
        <w:t>Generar soberanía tecnológica desde cada acción de la Unibol</w:t>
      </w:r>
      <w:r>
        <w:rPr>
          <w:spacing w:val="-5"/>
          <w:sz w:val="24"/>
        </w:rPr>
        <w:t> </w:t>
      </w:r>
      <w:r>
        <w:rPr>
          <w:sz w:val="24"/>
        </w:rPr>
        <w:t>Quechua</w:t>
      </w:r>
    </w:p>
    <w:p>
      <w:pPr>
        <w:pStyle w:val="ListParagraph"/>
        <w:numPr>
          <w:ilvl w:val="0"/>
          <w:numId w:val="50"/>
        </w:numPr>
        <w:tabs>
          <w:tab w:pos="1802" w:val="left" w:leader="none"/>
        </w:tabs>
        <w:spacing w:line="271" w:lineRule="auto" w:before="28" w:after="0"/>
        <w:ind w:left="1802" w:right="857" w:hanging="360"/>
        <w:jc w:val="both"/>
        <w:rPr>
          <w:sz w:val="24"/>
        </w:rPr>
      </w:pPr>
      <w:r>
        <w:rPr>
          <w:sz w:val="24"/>
        </w:rPr>
        <w:t>Establecer el Yachayllajta Unibol Quechua como la Ciudadela Tecnológica de Sabiduría quechua, que demuestre otro modelo tecnológico académico frente al resto de las universidades establecidas a partir de nuestra propia identidad y Cosmovisión</w:t>
      </w:r>
      <w:r>
        <w:rPr>
          <w:spacing w:val="-4"/>
          <w:sz w:val="24"/>
        </w:rPr>
        <w:t> </w:t>
      </w:r>
      <w:r>
        <w:rPr>
          <w:sz w:val="24"/>
        </w:rPr>
        <w:t>Pacha.</w:t>
      </w:r>
    </w:p>
    <w:p>
      <w:pPr>
        <w:pStyle w:val="BodyText"/>
        <w:spacing w:line="276" w:lineRule="auto" w:before="209"/>
        <w:ind w:left="1082" w:right="849"/>
        <w:jc w:val="both"/>
      </w:pPr>
      <w:r>
        <w:rPr/>
        <w:t>Solo estas bases puede hacer tangible la participación directa y la incidencia en las políticas del Estado plurinacional, pero lo que es más importante es cambiar la concepción de que el Estado debe apoyar a la Unibol, sino la Unibol desaparece. La Nación quechua es responsable de la creación del Estado Plurinacional, desde esta perspectiva es también la responsable de la construcción y defensa del Estado Plurinacional, esta misma perspectiva debe adoptar la Unibol Quechua. Es en esta perspectiva que se plantea la acción quinquenal el PEI de la Unibol relacionada al Estado Plurinacional.</w:t>
      </w:r>
    </w:p>
    <w:p>
      <w:pPr>
        <w:pStyle w:val="BodyText"/>
        <w:spacing w:before="8"/>
        <w:rPr>
          <w:sz w:val="20"/>
        </w:rPr>
      </w:pPr>
    </w:p>
    <w:p>
      <w:pPr>
        <w:pStyle w:val="Heading3"/>
        <w:numPr>
          <w:ilvl w:val="2"/>
          <w:numId w:val="49"/>
        </w:numPr>
        <w:tabs>
          <w:tab w:pos="1802" w:val="left" w:leader="none"/>
        </w:tabs>
        <w:spacing w:line="240" w:lineRule="auto" w:before="0" w:after="0"/>
        <w:ind w:left="1802" w:right="0" w:hanging="720"/>
        <w:jc w:val="left"/>
      </w:pPr>
      <w:r>
        <w:rPr/>
        <w:t>TERRITORILIDAD DEL TAWANTINSUYO /</w:t>
      </w:r>
      <w:r>
        <w:rPr>
          <w:spacing w:val="2"/>
        </w:rPr>
        <w:t> </w:t>
      </w:r>
      <w:r>
        <w:rPr/>
        <w:t>ABIAYALA</w:t>
      </w:r>
    </w:p>
    <w:p>
      <w:pPr>
        <w:pStyle w:val="BodyText"/>
        <w:spacing w:line="276" w:lineRule="auto" w:before="103"/>
        <w:ind w:left="1082" w:right="850"/>
        <w:jc w:val="both"/>
      </w:pPr>
      <w:r>
        <w:rPr/>
        <w:t>Así como la incidencia nacional no tiene que ser retórica sino práctica, vale el mismo principio para el nivel regional e internacional. La incidencia nacional e internacional de la Unibol, estará basada en los aportes tecnológicos productivos comunitarios que logre como resultado de su trabajo constructivo y propositivo a nivel científico técnico de la Nación Quechua. La sociedad y </w:t>
      </w:r>
      <w:r>
        <w:rPr>
          <w:spacing w:val="3"/>
        </w:rPr>
        <w:t>el </w:t>
      </w:r>
      <w:r>
        <w:rPr/>
        <w:t>estado tawantinsuyano, estaban construidos en base a ciencias y tecnologías propias desde la visión y cosmovisión de nuestras culturas. Las megaobras realizadas hacen miles de años, no perviven por el discurso retórico de nuestros antepasados, sino por </w:t>
      </w:r>
      <w:r>
        <w:rPr>
          <w:spacing w:val="4"/>
        </w:rPr>
        <w:t>el </w:t>
      </w:r>
      <w:r>
        <w:rPr/>
        <w:t>trabajo comunitario que ha hecho posible obras de ingeniería</w:t>
      </w:r>
      <w:r>
        <w:rPr>
          <w:spacing w:val="-4"/>
        </w:rPr>
        <w:t> </w:t>
      </w:r>
      <w:r>
        <w:rPr/>
        <w:t>comunitaria.</w:t>
      </w:r>
    </w:p>
    <w:p>
      <w:pPr>
        <w:spacing w:after="0" w:line="276" w:lineRule="auto"/>
        <w:jc w:val="both"/>
        <w:sectPr>
          <w:pgSz w:w="11910" w:h="16840"/>
          <w:pgMar w:header="0" w:footer="922" w:top="1320" w:bottom="1200" w:left="620" w:right="280"/>
        </w:sectPr>
      </w:pPr>
    </w:p>
    <w:p>
      <w:pPr>
        <w:pStyle w:val="BodyText"/>
        <w:ind w:left="1357"/>
        <w:rPr>
          <w:sz w:val="20"/>
        </w:rPr>
      </w:pPr>
      <w:r>
        <w:rPr>
          <w:sz w:val="20"/>
        </w:rPr>
        <w:drawing>
          <wp:inline distT="0" distB="0" distL="0" distR="0">
            <wp:extent cx="5405337" cy="4173378"/>
            <wp:effectExtent l="0" t="0" r="0" b="0"/>
            <wp:docPr id="13" name="image30.jpeg"/>
            <wp:cNvGraphicFramePr>
              <a:graphicFrameLocks noChangeAspect="1"/>
            </wp:cNvGraphicFramePr>
            <a:graphic>
              <a:graphicData uri="http://schemas.openxmlformats.org/drawingml/2006/picture">
                <pic:pic>
                  <pic:nvPicPr>
                    <pic:cNvPr id="14" name="image30.jpeg"/>
                    <pic:cNvPicPr/>
                  </pic:nvPicPr>
                  <pic:blipFill>
                    <a:blip r:embed="rId35" cstate="print"/>
                    <a:stretch>
                      <a:fillRect/>
                    </a:stretch>
                  </pic:blipFill>
                  <pic:spPr>
                    <a:xfrm>
                      <a:off x="0" y="0"/>
                      <a:ext cx="5405337" cy="4173378"/>
                    </a:xfrm>
                    <a:prstGeom prst="rect">
                      <a:avLst/>
                    </a:prstGeom>
                  </pic:spPr>
                </pic:pic>
              </a:graphicData>
            </a:graphic>
          </wp:inline>
        </w:drawing>
      </w:r>
      <w:r>
        <w:rPr>
          <w:sz w:val="20"/>
        </w:rPr>
      </w:r>
    </w:p>
    <w:p>
      <w:pPr>
        <w:pStyle w:val="BodyText"/>
        <w:rPr>
          <w:sz w:val="13"/>
        </w:rPr>
      </w:pPr>
    </w:p>
    <w:p>
      <w:pPr>
        <w:pStyle w:val="BodyText"/>
        <w:spacing w:line="276" w:lineRule="auto" w:before="93"/>
        <w:ind w:left="1082" w:right="856"/>
        <w:jc w:val="both"/>
      </w:pPr>
      <w:r>
        <w:rPr/>
        <w:t>Por un lado el diseño de los cursos y carreras de Post Grado, debe estar orientado a generar investigaciones comunitarias que generen la innovación tecnológica, pero también la creación y recreación tecnológica científica desde las perspectiva, visión e interés de las culturas indígenas originarias</w:t>
      </w:r>
      <w:r>
        <w:rPr>
          <w:spacing w:val="-6"/>
        </w:rPr>
        <w:t> </w:t>
      </w:r>
      <w:r>
        <w:rPr/>
        <w:t>campesinas.</w:t>
      </w:r>
    </w:p>
    <w:p>
      <w:pPr>
        <w:pStyle w:val="BodyText"/>
        <w:spacing w:line="276" w:lineRule="auto" w:before="199"/>
        <w:ind w:left="1082" w:right="849"/>
        <w:jc w:val="both"/>
      </w:pPr>
      <w:r>
        <w:rPr/>
        <w:t>Por otro lado, la articulación con otras universidades del mundo, debe basarse en campos temáticos y programas que le aportarán beneficio a la nación quechua y a los pueblos IOCs de nuestro país, que no mantenga la piratería científico técnica a la que estamos acostumbrados con la presencia de científicos del mundo industrializado. De la misma manera en el nivel regional sudamericano, es tiempo de que las universidades indígenas, puedan generar convenios propios entre Universidades Indígenas y aprovechar al mismo tiempo de los convenios internacionales ya establecidos. Acuerdos internacionales como ALBA, UNASUR, CELAC etc. deben tener presencia de Universidades Indígenas, la Unibol Quechua puede ser el propiciante. Para ello el PEI tiene una línea de acción en este sentido.</w:t>
      </w:r>
    </w:p>
    <w:p>
      <w:pPr>
        <w:pStyle w:val="BodyText"/>
        <w:rPr>
          <w:sz w:val="26"/>
        </w:rPr>
      </w:pPr>
    </w:p>
    <w:p>
      <w:pPr>
        <w:pStyle w:val="BodyText"/>
        <w:spacing w:before="3"/>
        <w:rPr>
          <w:sz w:val="34"/>
        </w:rPr>
      </w:pPr>
    </w:p>
    <w:p>
      <w:pPr>
        <w:pStyle w:val="Heading3"/>
        <w:numPr>
          <w:ilvl w:val="1"/>
          <w:numId w:val="48"/>
        </w:numPr>
        <w:tabs>
          <w:tab w:pos="2085" w:val="left" w:leader="none"/>
          <w:tab w:pos="2086" w:val="left" w:leader="none"/>
        </w:tabs>
        <w:spacing w:line="240" w:lineRule="auto" w:before="0" w:after="0"/>
        <w:ind w:left="2085" w:right="0" w:hanging="721"/>
        <w:jc w:val="left"/>
      </w:pPr>
      <w:r>
        <w:rPr/>
        <w:t>IMPLEMENTACION POR DIMENSION/LINEA DE</w:t>
      </w:r>
      <w:r>
        <w:rPr>
          <w:spacing w:val="1"/>
        </w:rPr>
        <w:t> </w:t>
      </w:r>
      <w:r>
        <w:rPr/>
        <w:t>ACCION</w:t>
      </w:r>
    </w:p>
    <w:p>
      <w:pPr>
        <w:pStyle w:val="BodyText"/>
        <w:spacing w:before="10"/>
        <w:rPr>
          <w:b/>
          <w:sz w:val="20"/>
        </w:rPr>
      </w:pPr>
    </w:p>
    <w:p>
      <w:pPr>
        <w:pStyle w:val="BodyText"/>
        <w:spacing w:line="276" w:lineRule="auto"/>
        <w:ind w:left="1082" w:right="855" w:firstLine="45"/>
        <w:jc w:val="both"/>
      </w:pPr>
      <w:r>
        <w:rPr/>
        <w:t>A continuación se detalla las actividades planificadas para el logro del objetivo trazado en el plan 2016-2020. Estas actividades están organizadas por líneas de acción. En el plano institucional se contempla: infraestructura y equipamiento, aspectos académicos, producción e investigación, y formación social, cultural. En el</w:t>
      </w:r>
    </w:p>
    <w:p>
      <w:pPr>
        <w:spacing w:after="0" w:line="276" w:lineRule="auto"/>
        <w:jc w:val="both"/>
        <w:sectPr>
          <w:pgSz w:w="11910" w:h="16840"/>
          <w:pgMar w:header="0" w:footer="922" w:top="1400" w:bottom="1200" w:left="620" w:right="280"/>
        </w:sectPr>
      </w:pPr>
    </w:p>
    <w:p>
      <w:pPr>
        <w:pStyle w:val="BodyText"/>
        <w:spacing w:line="276" w:lineRule="auto" w:before="76"/>
        <w:ind w:left="1082" w:right="851"/>
        <w:jc w:val="both"/>
      </w:pPr>
      <w:r>
        <w:rPr/>
        <w:t>plano de proyección de la Nación Quechua las actividades se orientan a la coordinación y articulación con las entidades autónomas y la configuración de la presencia territorial con el fin de responder a las demandas de la  población Quechua en los diferentes pisos ecológicos y según la vocación</w:t>
      </w:r>
      <w:r>
        <w:rPr>
          <w:spacing w:val="-19"/>
        </w:rPr>
        <w:t> </w:t>
      </w:r>
      <w:r>
        <w:rPr/>
        <w:t>productiva.</w:t>
      </w:r>
    </w:p>
    <w:p>
      <w:pPr>
        <w:pStyle w:val="BodyText"/>
        <w:spacing w:line="276" w:lineRule="auto" w:before="201"/>
        <w:ind w:left="1082" w:right="847"/>
        <w:jc w:val="both"/>
      </w:pPr>
      <w:r>
        <w:rPr/>
        <w:t>Como se dijo, el logro de las acciones en el nivel institucional incidirán a nivel del Estado Plurinacional para que ellas se orienten se orienten al fortalecimiento de la matriz productiva, y el enfoque educativo intracultural, intercultural y plurilingüe y la participación social en educación; asimismo la articulación e implementación de los pilares de la agenda 2020-2025, del Estado Plurinacional, a partir de la formación de recursos humanos con calidez y calidad académica como gestores productivos. A nivel macroregional se proyecta la articulación con las organizaciones de carácter indígena que comparten la filosofía de la UNIBOL y con otras de carácter académico. Asimismo se proyecta acciones orientadas a la gestión de recursos económicos adicionales para el funcionamiento de la</w:t>
      </w:r>
      <w:r>
        <w:rPr>
          <w:spacing w:val="-9"/>
        </w:rPr>
        <w:t> </w:t>
      </w:r>
      <w:r>
        <w:rPr/>
        <w:t>institución.</w:t>
      </w:r>
    </w:p>
    <w:p>
      <w:pPr>
        <w:pStyle w:val="Heading3"/>
        <w:numPr>
          <w:ilvl w:val="2"/>
          <w:numId w:val="51"/>
        </w:numPr>
        <w:tabs>
          <w:tab w:pos="1819" w:val="left" w:leader="none"/>
        </w:tabs>
        <w:spacing w:line="240" w:lineRule="auto" w:before="197" w:after="0"/>
        <w:ind w:left="1818" w:right="0" w:hanging="737"/>
        <w:jc w:val="left"/>
      </w:pPr>
      <w:r>
        <w:rPr/>
        <w:t>NIVEL</w:t>
      </w:r>
      <w:r>
        <w:rPr>
          <w:spacing w:val="66"/>
        </w:rPr>
        <w:t> </w:t>
      </w:r>
      <w:r>
        <w:rPr/>
        <w:t>INSTITUCIONAL</w:t>
      </w:r>
    </w:p>
    <w:p>
      <w:pPr>
        <w:pStyle w:val="BodyText"/>
        <w:rPr>
          <w:b/>
        </w:rPr>
      </w:pPr>
    </w:p>
    <w:p>
      <w:pPr>
        <w:pStyle w:val="BodyText"/>
        <w:ind w:left="1082" w:right="851"/>
        <w:jc w:val="both"/>
      </w:pPr>
      <w:r>
        <w:rPr/>
        <w:t>Siendo el PEI una herramienta rectora de la institución, es para este nivel que se desarrolla la descripción de los numerales siguientes, teniendo en cuenta los niveles territoriales que se han descrito, toda vez que es donde desea incidir y servir la Yachayllajta UNIBOL Quechua.</w:t>
      </w:r>
    </w:p>
    <w:p>
      <w:pPr>
        <w:pStyle w:val="BodyText"/>
        <w:spacing w:before="7"/>
        <w:rPr>
          <w:sz w:val="21"/>
        </w:rPr>
      </w:pPr>
    </w:p>
    <w:p>
      <w:pPr>
        <w:pStyle w:val="Heading3"/>
        <w:numPr>
          <w:ilvl w:val="3"/>
          <w:numId w:val="51"/>
        </w:numPr>
        <w:tabs>
          <w:tab w:pos="2161" w:val="left" w:leader="none"/>
          <w:tab w:pos="2162" w:val="left" w:leader="none"/>
        </w:tabs>
        <w:spacing w:line="240" w:lineRule="auto" w:before="1" w:after="0"/>
        <w:ind w:left="2162" w:right="0" w:hanging="1080"/>
        <w:jc w:val="left"/>
        <w:rPr>
          <w:rFonts w:ascii="Calibri"/>
        </w:rPr>
      </w:pPr>
      <w:r>
        <w:rPr>
          <w:rFonts w:ascii="Calibri"/>
        </w:rPr>
        <w:t>DIMENSION YACHAY</w:t>
      </w:r>
    </w:p>
    <w:p>
      <w:pPr>
        <w:pStyle w:val="BodyText"/>
        <w:spacing w:before="8"/>
        <w:rPr>
          <w:rFonts w:ascii="Calibri"/>
          <w:b/>
          <w:sz w:val="19"/>
        </w:rPr>
      </w:pPr>
    </w:p>
    <w:p>
      <w:pPr>
        <w:pStyle w:val="BodyText"/>
        <w:spacing w:before="1"/>
        <w:ind w:left="1082" w:right="852"/>
        <w:jc w:val="both"/>
      </w:pPr>
      <w:r>
        <w:rPr/>
        <w:t>Para efectivizar la Misión de la UNIBOL quechua cuan es el aporte inmediato y sustentable con profesionales de alta calidad y adecuados a las fortalezas productivas con identidad de la nación quechua y del Estado Plurinacional, la principal prioridad estratégica de la institución es la consolidación del YACHAY, en base al aporte e identificación de todos sus actores académicos  como sujetos de  un proceso de reformulación y funcionamiento inmediato de una estructura académica y ciclos educativos, cuyo episteme central sea la crianza comunitaria de sabidurías-conocimientos, siendo sus portadores principales sus profesionales egresada/os, quienes puedan ser y hacer efectivos aportes desde lo productivo al bienestar comunitario integral de las territorialidades quechuas y  del país, y a la  par, descolonizando simultáneamente y en contraposición, la herencia vigente del modelo académico fragmentario y mercantilizado que convencionalmente ha venido generando la educación</w:t>
      </w:r>
      <w:r>
        <w:rPr>
          <w:spacing w:val="-3"/>
        </w:rPr>
        <w:t> </w:t>
      </w:r>
      <w:r>
        <w:rPr/>
        <w:t>superior.</w:t>
      </w:r>
    </w:p>
    <w:p>
      <w:pPr>
        <w:pStyle w:val="BodyText"/>
        <w:rPr>
          <w:sz w:val="26"/>
        </w:rPr>
      </w:pPr>
    </w:p>
    <w:p>
      <w:pPr>
        <w:pStyle w:val="BodyText"/>
        <w:rPr>
          <w:sz w:val="38"/>
        </w:rPr>
      </w:pPr>
    </w:p>
    <w:p>
      <w:pPr>
        <w:spacing w:before="0"/>
        <w:ind w:left="2207" w:right="0" w:firstLine="0"/>
        <w:jc w:val="left"/>
        <w:rPr>
          <w:rFonts w:ascii="Calibri" w:hAnsi="Calibri"/>
          <w:b/>
          <w:sz w:val="20"/>
        </w:rPr>
      </w:pPr>
      <w:r>
        <w:rPr>
          <w:rFonts w:ascii="Calibri" w:hAnsi="Calibri"/>
          <w:b/>
          <w:sz w:val="20"/>
        </w:rPr>
        <w:t>LINEA DE ACCIÓN 1 : PLAN Y PROGRAMA ACADÉMICO COMUNITARIO</w:t>
      </w:r>
    </w:p>
    <w:p>
      <w:pPr>
        <w:pStyle w:val="BodyText"/>
        <w:rPr>
          <w:rFonts w:ascii="Calibri"/>
          <w:b/>
          <w:sz w:val="20"/>
        </w:rPr>
      </w:pPr>
    </w:p>
    <w:p>
      <w:pPr>
        <w:pStyle w:val="BodyText"/>
        <w:spacing w:before="3"/>
        <w:rPr>
          <w:rFonts w:ascii="Calibri"/>
          <w:b/>
          <w:sz w:val="22"/>
        </w:rPr>
      </w:pPr>
    </w:p>
    <w:p>
      <w:pPr>
        <w:pStyle w:val="BodyText"/>
        <w:ind w:left="1082" w:right="847"/>
        <w:jc w:val="both"/>
      </w:pPr>
      <w:r>
        <w:rPr/>
        <w:t>En el marco de sus alcances y mandatos estratégicos señalados por la normativa que crea la UNIBOL, la tarea constitutiva de la Universidad en la renovación-en un ambiente comunitario- del instrumento marco rector de la vida educativa estará reflejado en la redacción y aplicación del Plan y Programa Académico Comunitario</w:t>
      </w:r>
    </w:p>
    <w:p>
      <w:pPr>
        <w:spacing w:after="0"/>
        <w:jc w:val="both"/>
        <w:sectPr>
          <w:pgSz w:w="11910" w:h="16840"/>
          <w:pgMar w:header="0" w:footer="922" w:top="1320" w:bottom="1200" w:left="620" w:right="280"/>
        </w:sect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8"/>
        <w:gridCol w:w="1527"/>
        <w:gridCol w:w="1961"/>
        <w:gridCol w:w="1961"/>
        <w:gridCol w:w="2046"/>
      </w:tblGrid>
      <w:tr>
        <w:trPr>
          <w:trHeight w:val="763" w:hRule="atLeast"/>
        </w:trPr>
        <w:tc>
          <w:tcPr>
            <w:tcW w:w="1718" w:type="dxa"/>
            <w:shd w:val="clear" w:color="auto" w:fill="6FAC46"/>
          </w:tcPr>
          <w:p>
            <w:pPr>
              <w:pStyle w:val="TableParagraph"/>
              <w:spacing w:before="1"/>
              <w:ind w:left="309"/>
              <w:rPr>
                <w:b/>
                <w:sz w:val="20"/>
              </w:rPr>
            </w:pPr>
            <w:r>
              <w:rPr>
                <w:b/>
                <w:color w:val="FFFFFF"/>
                <w:sz w:val="20"/>
              </w:rPr>
              <w:t>RESULTADOS</w:t>
            </w:r>
          </w:p>
        </w:tc>
        <w:tc>
          <w:tcPr>
            <w:tcW w:w="1527" w:type="dxa"/>
            <w:shd w:val="clear" w:color="auto" w:fill="6FAC46"/>
          </w:tcPr>
          <w:p>
            <w:pPr>
              <w:pStyle w:val="TableParagraph"/>
              <w:spacing w:line="278" w:lineRule="auto"/>
              <w:ind w:left="192" w:right="57" w:firstLine="88"/>
              <w:rPr>
                <w:b/>
                <w:sz w:val="20"/>
              </w:rPr>
            </w:pPr>
            <w:r>
              <w:rPr>
                <w:b/>
                <w:color w:val="FFFFFF"/>
                <w:sz w:val="20"/>
              </w:rPr>
              <w:t>INDICADOR ESTRATÉGICO</w:t>
            </w:r>
          </w:p>
        </w:tc>
        <w:tc>
          <w:tcPr>
            <w:tcW w:w="1961" w:type="dxa"/>
            <w:shd w:val="clear" w:color="auto" w:fill="6FAC46"/>
          </w:tcPr>
          <w:p>
            <w:pPr>
              <w:pStyle w:val="TableParagraph"/>
              <w:spacing w:before="1"/>
              <w:ind w:left="422"/>
              <w:rPr>
                <w:b/>
                <w:sz w:val="20"/>
              </w:rPr>
            </w:pPr>
            <w:r>
              <w:rPr>
                <w:b/>
                <w:color w:val="FFFFFF"/>
                <w:sz w:val="20"/>
              </w:rPr>
              <w:t>ACTIVIDADES</w:t>
            </w:r>
          </w:p>
        </w:tc>
        <w:tc>
          <w:tcPr>
            <w:tcW w:w="1961" w:type="dxa"/>
            <w:shd w:val="clear" w:color="auto" w:fill="6FAC46"/>
          </w:tcPr>
          <w:p>
            <w:pPr>
              <w:pStyle w:val="TableParagraph"/>
              <w:spacing w:before="1"/>
              <w:ind w:left="333"/>
              <w:rPr>
                <w:b/>
                <w:sz w:val="20"/>
              </w:rPr>
            </w:pPr>
            <w:r>
              <w:rPr>
                <w:b/>
                <w:color w:val="FFFFFF"/>
                <w:sz w:val="20"/>
              </w:rPr>
              <w:t>METODOLOGIA</w:t>
            </w:r>
          </w:p>
        </w:tc>
        <w:tc>
          <w:tcPr>
            <w:tcW w:w="2046" w:type="dxa"/>
            <w:shd w:val="clear" w:color="auto" w:fill="6FAC46"/>
          </w:tcPr>
          <w:p>
            <w:pPr>
              <w:pStyle w:val="TableParagraph"/>
              <w:spacing w:before="1"/>
              <w:ind w:left="444"/>
              <w:rPr>
                <w:b/>
                <w:sz w:val="20"/>
              </w:rPr>
            </w:pPr>
            <w:r>
              <w:rPr>
                <w:b/>
                <w:color w:val="FFFFFF"/>
                <w:sz w:val="20"/>
              </w:rPr>
              <w:t>INDICADORES</w:t>
            </w:r>
          </w:p>
        </w:tc>
      </w:tr>
      <w:tr>
        <w:trPr>
          <w:trHeight w:val="1463" w:hRule="atLeast"/>
        </w:trPr>
        <w:tc>
          <w:tcPr>
            <w:tcW w:w="1718" w:type="dxa"/>
            <w:vMerge w:val="restart"/>
            <w:shd w:val="clear" w:color="auto" w:fill="E1EEDA"/>
          </w:tcPr>
          <w:p>
            <w:pPr>
              <w:pStyle w:val="TableParagraph"/>
              <w:tabs>
                <w:tab w:pos="1446" w:val="left" w:leader="none"/>
              </w:tabs>
              <w:spacing w:line="243" w:lineRule="exact"/>
              <w:ind w:left="69"/>
              <w:rPr>
                <w:sz w:val="20"/>
              </w:rPr>
            </w:pPr>
            <w:r>
              <w:rPr>
                <w:sz w:val="20"/>
              </w:rPr>
              <w:t>1.</w:t>
              <w:tab/>
              <w:t>En</w:t>
            </w:r>
          </w:p>
          <w:p>
            <w:pPr>
              <w:pStyle w:val="TableParagraph"/>
              <w:tabs>
                <w:tab w:pos="1280" w:val="left" w:leader="none"/>
              </w:tabs>
              <w:ind w:left="69" w:right="58"/>
              <w:rPr>
                <w:sz w:val="20"/>
              </w:rPr>
            </w:pPr>
            <w:r>
              <w:rPr>
                <w:sz w:val="20"/>
              </w:rPr>
              <w:t>funcionamiento </w:t>
            </w:r>
            <w:r>
              <w:rPr>
                <w:spacing w:val="-6"/>
                <w:sz w:val="20"/>
              </w:rPr>
              <w:t>el </w:t>
            </w:r>
            <w:r>
              <w:rPr>
                <w:sz w:val="20"/>
              </w:rPr>
              <w:t>Plan y Programa académico comunitario descolonizador basado en </w:t>
            </w:r>
            <w:r>
              <w:rPr>
                <w:spacing w:val="-3"/>
                <w:sz w:val="20"/>
              </w:rPr>
              <w:t>saberes </w:t>
            </w:r>
            <w:r>
              <w:rPr>
                <w:sz w:val="20"/>
              </w:rPr>
              <w:t>y prácticas andino </w:t>
            </w:r>
            <w:r>
              <w:rPr>
                <w:spacing w:val="-13"/>
                <w:sz w:val="20"/>
              </w:rPr>
              <w:t>- </w:t>
            </w:r>
            <w:r>
              <w:rPr>
                <w:sz w:val="20"/>
              </w:rPr>
              <w:t>amazónicas</w:t>
              <w:tab/>
              <w:t>y </w:t>
            </w:r>
            <w:r>
              <w:rPr>
                <w:spacing w:val="-8"/>
                <w:sz w:val="20"/>
              </w:rPr>
              <w:t>la </w:t>
            </w:r>
            <w:r>
              <w:rPr>
                <w:sz w:val="20"/>
              </w:rPr>
              <w:t>complementación científico- tecnológico contemporánea.</w:t>
            </w:r>
          </w:p>
        </w:tc>
        <w:tc>
          <w:tcPr>
            <w:tcW w:w="1527" w:type="dxa"/>
            <w:vMerge w:val="restart"/>
            <w:shd w:val="clear" w:color="auto" w:fill="E1EEDA"/>
          </w:tcPr>
          <w:p>
            <w:pPr>
              <w:pStyle w:val="TableParagraph"/>
              <w:tabs>
                <w:tab w:pos="797" w:val="left" w:leader="none"/>
                <w:tab w:pos="1223" w:val="left" w:leader="none"/>
                <w:tab w:pos="1314" w:val="left" w:leader="none"/>
              </w:tabs>
              <w:ind w:left="69" w:right="58"/>
              <w:rPr>
                <w:sz w:val="20"/>
              </w:rPr>
            </w:pPr>
            <w:r>
              <w:rPr>
                <w:sz w:val="20"/>
              </w:rPr>
              <w:t>Todos</w:t>
              <w:tab/>
              <w:tab/>
            </w:r>
            <w:r>
              <w:rPr>
                <w:spacing w:val="-5"/>
                <w:sz w:val="20"/>
              </w:rPr>
              <w:t>los </w:t>
            </w:r>
            <w:r>
              <w:rPr>
                <w:sz w:val="20"/>
              </w:rPr>
              <w:t>diseños, operativización y evaluación</w:t>
              <w:tab/>
            </w:r>
            <w:r>
              <w:rPr>
                <w:spacing w:val="-9"/>
                <w:sz w:val="20"/>
              </w:rPr>
              <w:t>en </w:t>
            </w:r>
            <w:r>
              <w:rPr>
                <w:sz w:val="20"/>
              </w:rPr>
              <w:t>los</w:t>
              <w:tab/>
            </w:r>
            <w:r>
              <w:rPr>
                <w:w w:val="95"/>
                <w:sz w:val="20"/>
              </w:rPr>
              <w:t>ámbitos </w:t>
            </w:r>
            <w:r>
              <w:rPr>
                <w:sz w:val="20"/>
              </w:rPr>
              <w:t>académico y </w:t>
            </w:r>
            <w:r>
              <w:rPr>
                <w:spacing w:val="-6"/>
                <w:sz w:val="20"/>
              </w:rPr>
              <w:t>de </w:t>
            </w:r>
            <w:r>
              <w:rPr>
                <w:sz w:val="20"/>
              </w:rPr>
              <w:t>funcionamiento de</w:t>
              <w:tab/>
              <w:tab/>
              <w:tab/>
            </w:r>
            <w:r>
              <w:rPr>
                <w:spacing w:val="-9"/>
                <w:sz w:val="20"/>
              </w:rPr>
              <w:t>la</w:t>
            </w:r>
          </w:p>
          <w:p>
            <w:pPr>
              <w:pStyle w:val="TableParagraph"/>
              <w:tabs>
                <w:tab w:pos="614" w:val="left" w:leader="none"/>
                <w:tab w:pos="1367" w:val="left" w:leader="none"/>
              </w:tabs>
              <w:ind w:left="69" w:right="57"/>
              <w:rPr>
                <w:sz w:val="20"/>
              </w:rPr>
            </w:pPr>
            <w:r>
              <w:rPr>
                <w:sz w:val="20"/>
              </w:rPr>
              <w:t>Universidad, están adecuados al</w:t>
              <w:tab/>
              <w:t>Plan</w:t>
              <w:tab/>
            </w:r>
            <w:r>
              <w:rPr>
                <w:spacing w:val="-18"/>
                <w:sz w:val="20"/>
              </w:rPr>
              <w:t>y </w:t>
            </w:r>
            <w:r>
              <w:rPr>
                <w:sz w:val="20"/>
              </w:rPr>
              <w:t>Programa aprobados y a </w:t>
            </w:r>
            <w:r>
              <w:rPr>
                <w:spacing w:val="-7"/>
                <w:sz w:val="20"/>
              </w:rPr>
              <w:t>la </w:t>
            </w:r>
            <w:r>
              <w:rPr>
                <w:sz w:val="20"/>
              </w:rPr>
              <w:t>normativa nacional vigente, al 2do trimestre del 2do</w:t>
            </w:r>
            <w:r>
              <w:rPr>
                <w:spacing w:val="-1"/>
                <w:sz w:val="20"/>
              </w:rPr>
              <w:t> </w:t>
            </w:r>
            <w:r>
              <w:rPr>
                <w:sz w:val="20"/>
              </w:rPr>
              <w:t>año.</w:t>
            </w:r>
          </w:p>
        </w:tc>
        <w:tc>
          <w:tcPr>
            <w:tcW w:w="1961" w:type="dxa"/>
            <w:shd w:val="clear" w:color="auto" w:fill="E1EEDA"/>
          </w:tcPr>
          <w:p>
            <w:pPr>
              <w:pStyle w:val="TableParagraph"/>
              <w:tabs>
                <w:tab w:pos="1017" w:val="left" w:leader="none"/>
                <w:tab w:pos="1685" w:val="left" w:leader="none"/>
              </w:tabs>
              <w:ind w:left="69" w:right="59"/>
              <w:rPr>
                <w:sz w:val="20"/>
              </w:rPr>
            </w:pPr>
            <w:r>
              <w:rPr>
                <w:sz w:val="20"/>
              </w:rPr>
              <w:t>1.Entrenamiento metodológico</w:t>
              <w:tab/>
            </w:r>
            <w:r>
              <w:rPr>
                <w:spacing w:val="-9"/>
                <w:sz w:val="20"/>
              </w:rPr>
              <w:t>en </w:t>
            </w:r>
            <w:r>
              <w:rPr>
                <w:sz w:val="20"/>
              </w:rPr>
              <w:t>elaboración de planes y</w:t>
              <w:tab/>
            </w:r>
            <w:r>
              <w:rPr>
                <w:spacing w:val="-1"/>
                <w:sz w:val="20"/>
              </w:rPr>
              <w:t>programas </w:t>
            </w:r>
            <w:r>
              <w:rPr>
                <w:sz w:val="20"/>
              </w:rPr>
              <w:t>académicos</w:t>
            </w:r>
          </w:p>
        </w:tc>
        <w:tc>
          <w:tcPr>
            <w:tcW w:w="1961" w:type="dxa"/>
            <w:shd w:val="clear" w:color="auto" w:fill="E1EEDA"/>
          </w:tcPr>
          <w:p>
            <w:pPr>
              <w:pStyle w:val="TableParagraph"/>
              <w:tabs>
                <w:tab w:pos="1682" w:val="left" w:leader="none"/>
              </w:tabs>
              <w:ind w:left="69" w:right="62"/>
              <w:jc w:val="both"/>
              <w:rPr>
                <w:sz w:val="20"/>
              </w:rPr>
            </w:pPr>
            <w:r>
              <w:rPr>
                <w:sz w:val="20"/>
              </w:rPr>
              <w:t>Talleres participativos comunitarios</w:t>
              <w:tab/>
            </w:r>
            <w:r>
              <w:rPr>
                <w:spacing w:val="-9"/>
                <w:sz w:val="20"/>
              </w:rPr>
              <w:t>de </w:t>
            </w:r>
            <w:r>
              <w:rPr>
                <w:sz w:val="20"/>
              </w:rPr>
              <w:t>Metodología</w:t>
            </w:r>
            <w:r>
              <w:rPr>
                <w:spacing w:val="-4"/>
                <w:sz w:val="20"/>
              </w:rPr>
              <w:t> </w:t>
            </w:r>
            <w:r>
              <w:rPr>
                <w:sz w:val="20"/>
              </w:rPr>
              <w:t>Chakana</w:t>
            </w:r>
          </w:p>
        </w:tc>
        <w:tc>
          <w:tcPr>
            <w:tcW w:w="2046" w:type="dxa"/>
            <w:shd w:val="clear" w:color="auto" w:fill="E1EEDA"/>
          </w:tcPr>
          <w:p>
            <w:pPr>
              <w:pStyle w:val="TableParagraph"/>
              <w:tabs>
                <w:tab w:pos="1346" w:val="left" w:leader="none"/>
                <w:tab w:pos="1767" w:val="left" w:leader="none"/>
              </w:tabs>
              <w:ind w:left="69" w:right="58"/>
              <w:rPr>
                <w:sz w:val="20"/>
              </w:rPr>
            </w:pPr>
            <w:r>
              <w:rPr>
                <w:sz w:val="20"/>
              </w:rPr>
              <w:t>Docentes, estudiantes, autoridades académicas</w:t>
              <w:tab/>
              <w:t>y</w:t>
              <w:tab/>
            </w:r>
            <w:r>
              <w:rPr>
                <w:spacing w:val="-8"/>
                <w:sz w:val="20"/>
              </w:rPr>
              <w:t>de </w:t>
            </w:r>
            <w:r>
              <w:rPr>
                <w:sz w:val="20"/>
              </w:rPr>
              <w:t>organizaciones entrenados</w:t>
              <w:tab/>
              <w:tab/>
            </w:r>
            <w:r>
              <w:rPr>
                <w:spacing w:val="-7"/>
                <w:sz w:val="20"/>
              </w:rPr>
              <w:t>en</w:t>
            </w:r>
          </w:p>
          <w:p>
            <w:pPr>
              <w:pStyle w:val="TableParagraph"/>
              <w:spacing w:line="224" w:lineRule="exact"/>
              <w:ind w:left="69"/>
              <w:rPr>
                <w:sz w:val="20"/>
              </w:rPr>
            </w:pPr>
            <w:r>
              <w:rPr>
                <w:sz w:val="20"/>
              </w:rPr>
              <w:t>metodología</w:t>
            </w:r>
          </w:p>
        </w:tc>
      </w:tr>
      <w:tr>
        <w:trPr>
          <w:trHeight w:val="1709" w:hRule="atLeast"/>
        </w:trPr>
        <w:tc>
          <w:tcPr>
            <w:tcW w:w="1718" w:type="dxa"/>
            <w:vMerge/>
            <w:tcBorders>
              <w:top w:val="nil"/>
            </w:tcBorders>
            <w:shd w:val="clear" w:color="auto" w:fill="E1EEDA"/>
          </w:tcPr>
          <w:p>
            <w:pPr>
              <w:rPr>
                <w:sz w:val="2"/>
                <w:szCs w:val="2"/>
              </w:rPr>
            </w:pPr>
          </w:p>
        </w:tc>
        <w:tc>
          <w:tcPr>
            <w:tcW w:w="1527" w:type="dxa"/>
            <w:vMerge/>
            <w:tcBorders>
              <w:top w:val="nil"/>
            </w:tcBorders>
            <w:shd w:val="clear" w:color="auto" w:fill="E1EEDA"/>
          </w:tcPr>
          <w:p>
            <w:pPr>
              <w:rPr>
                <w:sz w:val="2"/>
                <w:szCs w:val="2"/>
              </w:rPr>
            </w:pPr>
          </w:p>
        </w:tc>
        <w:tc>
          <w:tcPr>
            <w:tcW w:w="1961" w:type="dxa"/>
            <w:shd w:val="clear" w:color="auto" w:fill="E1EEDA"/>
          </w:tcPr>
          <w:p>
            <w:pPr>
              <w:pStyle w:val="TableParagraph"/>
              <w:tabs>
                <w:tab w:pos="1096" w:val="left" w:leader="none"/>
              </w:tabs>
              <w:ind w:left="69" w:right="58"/>
              <w:jc w:val="both"/>
              <w:rPr>
                <w:sz w:val="20"/>
              </w:rPr>
            </w:pPr>
            <w:r>
              <w:rPr>
                <w:sz w:val="20"/>
              </w:rPr>
              <w:t>2. Elaboración de Plan y</w:t>
              <w:tab/>
            </w:r>
            <w:r>
              <w:rPr>
                <w:spacing w:val="-1"/>
                <w:sz w:val="20"/>
              </w:rPr>
              <w:t>programa</w:t>
            </w:r>
          </w:p>
          <w:p>
            <w:pPr>
              <w:pStyle w:val="TableParagraph"/>
              <w:ind w:left="69" w:right="59"/>
              <w:jc w:val="both"/>
              <w:rPr>
                <w:sz w:val="20"/>
              </w:rPr>
            </w:pPr>
            <w:r>
              <w:rPr>
                <w:sz w:val="20"/>
              </w:rPr>
              <w:t>académico en función de planes de la nación Quechua y de sus gobiernos locales.</w:t>
            </w:r>
          </w:p>
        </w:tc>
        <w:tc>
          <w:tcPr>
            <w:tcW w:w="1961" w:type="dxa"/>
            <w:shd w:val="clear" w:color="auto" w:fill="E1EEDA"/>
          </w:tcPr>
          <w:p>
            <w:pPr>
              <w:pStyle w:val="TableParagraph"/>
              <w:tabs>
                <w:tab w:pos="1683" w:val="left" w:leader="none"/>
                <w:tab w:pos="1797" w:val="left" w:leader="none"/>
              </w:tabs>
              <w:ind w:left="69" w:right="58"/>
              <w:rPr>
                <w:sz w:val="20"/>
              </w:rPr>
            </w:pPr>
            <w:r>
              <w:rPr>
                <w:sz w:val="20"/>
              </w:rPr>
              <w:t>Talleres y trabajo </w:t>
            </w:r>
            <w:r>
              <w:rPr>
                <w:spacing w:val="-6"/>
                <w:sz w:val="20"/>
              </w:rPr>
              <w:t>de </w:t>
            </w:r>
            <w:r>
              <w:rPr>
                <w:sz w:val="20"/>
              </w:rPr>
              <w:t>gabinete participativos</w:t>
              <w:tab/>
            </w:r>
            <w:r>
              <w:rPr>
                <w:spacing w:val="-8"/>
                <w:sz w:val="20"/>
              </w:rPr>
              <w:t>en </w:t>
            </w:r>
            <w:r>
              <w:rPr>
                <w:sz w:val="20"/>
              </w:rPr>
              <w:t>Juntas, reuniones con organizaciones</w:t>
              <w:tab/>
              <w:tab/>
            </w:r>
            <w:r>
              <w:rPr>
                <w:spacing w:val="-15"/>
                <w:sz w:val="20"/>
              </w:rPr>
              <w:t>y </w:t>
            </w:r>
            <w:r>
              <w:rPr>
                <w:sz w:val="20"/>
              </w:rPr>
              <w:t>Ministerios</w:t>
            </w:r>
          </w:p>
          <w:p>
            <w:pPr>
              <w:pStyle w:val="TableParagraph"/>
              <w:spacing w:line="223" w:lineRule="exact" w:before="1"/>
              <w:ind w:left="69"/>
              <w:rPr>
                <w:sz w:val="20"/>
              </w:rPr>
            </w:pPr>
            <w:r>
              <w:rPr>
                <w:sz w:val="20"/>
              </w:rPr>
              <w:t>sectoriales</w:t>
            </w:r>
          </w:p>
        </w:tc>
        <w:tc>
          <w:tcPr>
            <w:tcW w:w="2046" w:type="dxa"/>
            <w:shd w:val="clear" w:color="auto" w:fill="E1EEDA"/>
          </w:tcPr>
          <w:p>
            <w:pPr>
              <w:pStyle w:val="TableParagraph"/>
              <w:tabs>
                <w:tab w:pos="940" w:val="left" w:leader="none"/>
                <w:tab w:pos="1770" w:val="left" w:leader="none"/>
              </w:tabs>
              <w:ind w:left="69" w:right="60"/>
              <w:jc w:val="both"/>
              <w:rPr>
                <w:sz w:val="20"/>
              </w:rPr>
            </w:pPr>
            <w:r>
              <w:rPr>
                <w:sz w:val="20"/>
              </w:rPr>
              <w:t>2</w:t>
              <w:tab/>
            </w:r>
            <w:r>
              <w:rPr>
                <w:w w:val="95"/>
                <w:sz w:val="20"/>
              </w:rPr>
              <w:t>Documentos </w:t>
            </w:r>
            <w:r>
              <w:rPr>
                <w:sz w:val="20"/>
              </w:rPr>
              <w:t>elaborados</w:t>
              <w:tab/>
            </w:r>
            <w:r>
              <w:rPr>
                <w:spacing w:val="-10"/>
                <w:sz w:val="20"/>
              </w:rPr>
              <w:t>en</w:t>
            </w:r>
          </w:p>
          <w:p>
            <w:pPr>
              <w:pStyle w:val="TableParagraph"/>
              <w:tabs>
                <w:tab w:pos="1679" w:val="left" w:leader="none"/>
              </w:tabs>
              <w:ind w:left="69" w:right="57"/>
              <w:jc w:val="both"/>
              <w:rPr>
                <w:sz w:val="20"/>
              </w:rPr>
            </w:pPr>
            <w:r>
              <w:rPr>
                <w:sz w:val="20"/>
              </w:rPr>
              <w:t>coordinación</w:t>
              <w:tab/>
            </w:r>
            <w:r>
              <w:rPr>
                <w:spacing w:val="-5"/>
                <w:sz w:val="20"/>
              </w:rPr>
              <w:t>con </w:t>
            </w:r>
            <w:r>
              <w:rPr>
                <w:sz w:val="20"/>
              </w:rPr>
              <w:t>Organizaciones IOCs aprobado</w:t>
              <w:tab/>
            </w:r>
            <w:r>
              <w:rPr>
                <w:spacing w:val="-5"/>
                <w:sz w:val="20"/>
              </w:rPr>
              <w:t>por </w:t>
            </w:r>
            <w:r>
              <w:rPr>
                <w:sz w:val="20"/>
              </w:rPr>
              <w:t>Ministerio</w:t>
            </w:r>
          </w:p>
        </w:tc>
      </w:tr>
      <w:tr>
        <w:trPr>
          <w:trHeight w:val="1465" w:hRule="atLeast"/>
        </w:trPr>
        <w:tc>
          <w:tcPr>
            <w:tcW w:w="1718" w:type="dxa"/>
            <w:vMerge/>
            <w:tcBorders>
              <w:top w:val="nil"/>
            </w:tcBorders>
            <w:shd w:val="clear" w:color="auto" w:fill="E1EEDA"/>
          </w:tcPr>
          <w:p>
            <w:pPr>
              <w:rPr>
                <w:sz w:val="2"/>
                <w:szCs w:val="2"/>
              </w:rPr>
            </w:pPr>
          </w:p>
        </w:tc>
        <w:tc>
          <w:tcPr>
            <w:tcW w:w="1527" w:type="dxa"/>
            <w:vMerge/>
            <w:tcBorders>
              <w:top w:val="nil"/>
            </w:tcBorders>
            <w:shd w:val="clear" w:color="auto" w:fill="E1EEDA"/>
          </w:tcPr>
          <w:p>
            <w:pPr>
              <w:rPr>
                <w:sz w:val="2"/>
                <w:szCs w:val="2"/>
              </w:rPr>
            </w:pPr>
          </w:p>
        </w:tc>
        <w:tc>
          <w:tcPr>
            <w:tcW w:w="1961" w:type="dxa"/>
            <w:vMerge w:val="restart"/>
            <w:shd w:val="clear" w:color="auto" w:fill="E1EEDA"/>
          </w:tcPr>
          <w:p>
            <w:pPr>
              <w:pStyle w:val="TableParagraph"/>
              <w:tabs>
                <w:tab w:pos="1684" w:val="left" w:leader="none"/>
              </w:tabs>
              <w:spacing w:line="243" w:lineRule="exact" w:before="1"/>
              <w:ind w:left="69"/>
              <w:rPr>
                <w:sz w:val="20"/>
              </w:rPr>
            </w:pPr>
            <w:r>
              <w:rPr>
                <w:sz w:val="20"/>
              </w:rPr>
              <w:t>3.Aplicación</w:t>
              <w:tab/>
              <w:t>de</w:t>
            </w:r>
          </w:p>
          <w:p>
            <w:pPr>
              <w:pStyle w:val="TableParagraph"/>
              <w:tabs>
                <w:tab w:pos="1684" w:val="left" w:leader="none"/>
              </w:tabs>
              <w:spacing w:line="243" w:lineRule="exact"/>
              <w:ind w:left="69"/>
              <w:rPr>
                <w:sz w:val="20"/>
              </w:rPr>
            </w:pPr>
            <w:r>
              <w:rPr>
                <w:sz w:val="20"/>
              </w:rPr>
              <w:t>sistema</w:t>
              <w:tab/>
              <w:t>de</w:t>
            </w:r>
          </w:p>
          <w:p>
            <w:pPr>
              <w:pStyle w:val="TableParagraph"/>
              <w:spacing w:before="1"/>
              <w:ind w:left="69" w:right="19"/>
              <w:rPr>
                <w:sz w:val="20"/>
              </w:rPr>
            </w:pPr>
            <w:r>
              <w:rPr>
                <w:w w:val="95"/>
                <w:sz w:val="20"/>
              </w:rPr>
              <w:t>evaluación/incentivo </w:t>
            </w:r>
            <w:r>
              <w:rPr>
                <w:sz w:val="20"/>
              </w:rPr>
              <w:t>académico permanente</w:t>
            </w:r>
          </w:p>
        </w:tc>
        <w:tc>
          <w:tcPr>
            <w:tcW w:w="1961" w:type="dxa"/>
            <w:shd w:val="clear" w:color="auto" w:fill="E1EEDA"/>
          </w:tcPr>
          <w:p>
            <w:pPr>
              <w:pStyle w:val="TableParagraph"/>
              <w:tabs>
                <w:tab w:pos="933" w:val="left" w:leader="none"/>
                <w:tab w:pos="1684" w:val="left" w:leader="none"/>
              </w:tabs>
              <w:spacing w:before="1"/>
              <w:ind w:left="69" w:right="59"/>
              <w:rPr>
                <w:sz w:val="20"/>
              </w:rPr>
            </w:pPr>
            <w:r>
              <w:rPr>
                <w:sz w:val="20"/>
              </w:rPr>
              <w:t>talleres/consultorías de</w:t>
              <w:tab/>
            </w:r>
            <w:r>
              <w:rPr>
                <w:spacing w:val="-1"/>
                <w:sz w:val="20"/>
              </w:rPr>
              <w:t>Elaboración </w:t>
            </w:r>
            <w:r>
              <w:rPr>
                <w:sz w:val="20"/>
              </w:rPr>
              <w:t>comunitaria</w:t>
              <w:tab/>
            </w:r>
            <w:r>
              <w:rPr>
                <w:spacing w:val="-8"/>
                <w:sz w:val="20"/>
              </w:rPr>
              <w:t>de</w:t>
            </w:r>
          </w:p>
          <w:p>
            <w:pPr>
              <w:pStyle w:val="TableParagraph"/>
              <w:tabs>
                <w:tab w:pos="1681" w:val="left" w:leader="none"/>
              </w:tabs>
              <w:spacing w:line="243" w:lineRule="exact"/>
              <w:ind w:left="69"/>
              <w:rPr>
                <w:sz w:val="20"/>
              </w:rPr>
            </w:pPr>
            <w:r>
              <w:rPr>
                <w:sz w:val="20"/>
              </w:rPr>
              <w:t>Sistema</w:t>
              <w:tab/>
              <w:t>de</w:t>
            </w:r>
          </w:p>
          <w:p>
            <w:pPr>
              <w:pStyle w:val="TableParagraph"/>
              <w:spacing w:line="243" w:lineRule="exact"/>
              <w:ind w:left="69"/>
              <w:rPr>
                <w:sz w:val="20"/>
              </w:rPr>
            </w:pPr>
            <w:r>
              <w:rPr>
                <w:sz w:val="20"/>
              </w:rPr>
              <w:t>Evaluación/incentivo</w:t>
            </w:r>
          </w:p>
          <w:p>
            <w:pPr>
              <w:pStyle w:val="TableParagraph"/>
              <w:spacing w:line="225" w:lineRule="exact" w:before="1"/>
              <w:ind w:left="69"/>
              <w:rPr>
                <w:sz w:val="20"/>
              </w:rPr>
            </w:pPr>
            <w:r>
              <w:rPr>
                <w:sz w:val="20"/>
              </w:rPr>
              <w:t>académico</w:t>
            </w:r>
          </w:p>
        </w:tc>
        <w:tc>
          <w:tcPr>
            <w:tcW w:w="2046" w:type="dxa"/>
            <w:shd w:val="clear" w:color="auto" w:fill="E1EEDA"/>
          </w:tcPr>
          <w:p>
            <w:pPr>
              <w:pStyle w:val="TableParagraph"/>
              <w:spacing w:before="1"/>
              <w:ind w:left="69" w:right="58"/>
              <w:rPr>
                <w:sz w:val="20"/>
              </w:rPr>
            </w:pPr>
            <w:r>
              <w:rPr>
                <w:sz w:val="20"/>
              </w:rPr>
              <w:t>Documento de Sistema de Evaluación/incentivos elaborado</w:t>
            </w:r>
          </w:p>
        </w:tc>
      </w:tr>
      <w:tr>
        <w:trPr>
          <w:trHeight w:val="731" w:hRule="atLeast"/>
        </w:trPr>
        <w:tc>
          <w:tcPr>
            <w:tcW w:w="1718" w:type="dxa"/>
            <w:vMerge/>
            <w:tcBorders>
              <w:top w:val="nil"/>
            </w:tcBorders>
            <w:shd w:val="clear" w:color="auto" w:fill="E1EEDA"/>
          </w:tcPr>
          <w:p>
            <w:pPr>
              <w:rPr>
                <w:sz w:val="2"/>
                <w:szCs w:val="2"/>
              </w:rPr>
            </w:pPr>
          </w:p>
        </w:tc>
        <w:tc>
          <w:tcPr>
            <w:tcW w:w="1527" w:type="dxa"/>
            <w:vMerge/>
            <w:tcBorders>
              <w:top w:val="nil"/>
            </w:tcBorders>
            <w:shd w:val="clear" w:color="auto" w:fill="E1EEDA"/>
          </w:tcPr>
          <w:p>
            <w:pPr>
              <w:rPr>
                <w:sz w:val="2"/>
                <w:szCs w:val="2"/>
              </w:rPr>
            </w:pPr>
          </w:p>
        </w:tc>
        <w:tc>
          <w:tcPr>
            <w:tcW w:w="1961" w:type="dxa"/>
            <w:vMerge/>
            <w:tcBorders>
              <w:top w:val="nil"/>
            </w:tcBorders>
            <w:shd w:val="clear" w:color="auto" w:fill="E1EEDA"/>
          </w:tcPr>
          <w:p>
            <w:pPr>
              <w:rPr>
                <w:sz w:val="2"/>
                <w:szCs w:val="2"/>
              </w:rPr>
            </w:pPr>
          </w:p>
        </w:tc>
        <w:tc>
          <w:tcPr>
            <w:tcW w:w="1961" w:type="dxa"/>
            <w:shd w:val="clear" w:color="auto" w:fill="E1EEDA"/>
          </w:tcPr>
          <w:p>
            <w:pPr>
              <w:pStyle w:val="TableParagraph"/>
              <w:spacing w:line="243" w:lineRule="exact"/>
              <w:ind w:left="69"/>
              <w:rPr>
                <w:sz w:val="20"/>
              </w:rPr>
            </w:pPr>
            <w:r>
              <w:rPr>
                <w:sz w:val="20"/>
              </w:rPr>
              <w:t>Aplicación desde la</w:t>
            </w:r>
          </w:p>
          <w:p>
            <w:pPr>
              <w:pStyle w:val="TableParagraph"/>
              <w:spacing w:line="240" w:lineRule="atLeast"/>
              <w:ind w:left="69"/>
              <w:rPr>
                <w:sz w:val="20"/>
              </w:rPr>
            </w:pPr>
            <w:r>
              <w:rPr>
                <w:sz w:val="20"/>
              </w:rPr>
              <w:t>unidad de evaluación académica</w:t>
            </w:r>
          </w:p>
        </w:tc>
        <w:tc>
          <w:tcPr>
            <w:tcW w:w="2046" w:type="dxa"/>
            <w:shd w:val="clear" w:color="auto" w:fill="E1EEDA"/>
          </w:tcPr>
          <w:p>
            <w:pPr>
              <w:pStyle w:val="TableParagraph"/>
              <w:spacing w:line="243" w:lineRule="exact"/>
              <w:ind w:left="69" w:firstLine="45"/>
              <w:rPr>
                <w:sz w:val="20"/>
              </w:rPr>
            </w:pPr>
            <w:r>
              <w:rPr>
                <w:sz w:val="20"/>
              </w:rPr>
              <w:t>En aplicación Sistema</w:t>
            </w:r>
          </w:p>
          <w:p>
            <w:pPr>
              <w:pStyle w:val="TableParagraph"/>
              <w:tabs>
                <w:tab w:pos="650" w:val="left" w:leader="none"/>
                <w:tab w:pos="1897" w:val="left" w:leader="none"/>
              </w:tabs>
              <w:spacing w:line="240" w:lineRule="atLeast"/>
              <w:ind w:left="69" w:right="59"/>
              <w:rPr>
                <w:sz w:val="20"/>
              </w:rPr>
            </w:pPr>
            <w:r>
              <w:rPr>
                <w:sz w:val="20"/>
              </w:rPr>
              <w:t>de</w:t>
              <w:tab/>
              <w:t>Evaluación</w:t>
              <w:tab/>
            </w:r>
            <w:r>
              <w:rPr>
                <w:spacing w:val="-17"/>
                <w:sz w:val="20"/>
              </w:rPr>
              <w:t>/ </w:t>
            </w:r>
            <w:r>
              <w:rPr>
                <w:sz w:val="20"/>
              </w:rPr>
              <w:t>incentivo</w:t>
            </w:r>
            <w:r>
              <w:rPr>
                <w:spacing w:val="-2"/>
                <w:sz w:val="20"/>
              </w:rPr>
              <w:t> </w:t>
            </w:r>
            <w:r>
              <w:rPr>
                <w:sz w:val="20"/>
              </w:rPr>
              <w:t>Semestral</w:t>
            </w:r>
          </w:p>
        </w:tc>
      </w:tr>
    </w:tbl>
    <w:p>
      <w:pPr>
        <w:pStyle w:val="BodyText"/>
        <w:ind w:left="1082" w:right="856"/>
        <w:jc w:val="both"/>
      </w:pPr>
      <w:r>
        <w:rPr/>
        <w:t>y Descolonizador, mismo que en su proceso debe dotarse de las medidas convenientes</w:t>
      </w:r>
    </w:p>
    <w:p>
      <w:pPr>
        <w:pStyle w:val="BodyText"/>
        <w:spacing w:before="10"/>
        <w:rPr>
          <w:sz w:val="23"/>
        </w:rPr>
      </w:pPr>
    </w:p>
    <w:p>
      <w:pPr>
        <w:pStyle w:val="BodyText"/>
        <w:spacing w:before="1"/>
        <w:ind w:left="1082" w:right="847"/>
        <w:jc w:val="both"/>
      </w:pPr>
      <w:r>
        <w:rPr/>
        <w:t>para ser confeccionado necesariamente tomando como base y sustento conceptual y metodológico permanente de la formación : los saberes y prácticas andino - amazónicas de la Nación Quechua y la diversidad plurinacional IOCs ancestral y contemporánea, a la cual, deberá adscribir de forma  complementaria  a  la señalada, los aportes científico-tecnológicos de las ciencias y el conocimiento de otras vertientes existentes en el</w:t>
      </w:r>
      <w:r>
        <w:rPr>
          <w:spacing w:val="-8"/>
        </w:rPr>
        <w:t> </w:t>
      </w:r>
      <w:r>
        <w:rPr/>
        <w:t>mundo.</w:t>
      </w:r>
    </w:p>
    <w:p>
      <w:pPr>
        <w:pStyle w:val="BodyText"/>
      </w:pPr>
    </w:p>
    <w:p>
      <w:pPr>
        <w:pStyle w:val="BodyText"/>
        <w:ind w:left="1082" w:right="851"/>
        <w:jc w:val="both"/>
      </w:pPr>
      <w:r>
        <w:rPr/>
        <w:t>La formulación del Plan y Programa Académico Comunitario y Descolonizador , deberá permitir que en los plazos estipulados en este PEI, todos los diseños, operativización y evaluación en los ámbitos académico y de funcionamiento de la Universidad, estén adecuados al Plan y Programa aprobados y a la normativa nacional vigente,</w:t>
      </w:r>
    </w:p>
    <w:p>
      <w:pPr>
        <w:pStyle w:val="BodyText"/>
      </w:pPr>
    </w:p>
    <w:p>
      <w:pPr>
        <w:pStyle w:val="BodyText"/>
        <w:ind w:left="1082" w:right="849"/>
        <w:jc w:val="both"/>
      </w:pPr>
      <w:r>
        <w:rPr/>
        <w:t>Para ello, se realizará primeramente el respectivo entrenamiento metodológico en elaboración de planes y programas académicos mediante Talleres participativos comunitarios de entrenamiento base en utilización de la Metodología Chakana con segmentos representativos y multiplicadores de Docentes y delegados de estudiante de las 4 carreras, así como con autoridades académicas y de organizaciones IOCs participantes de la Junta Comunitaria. Paralelamente y en sujeción a los mecanismos de gestión y decisionales de la UNIBOL quechua, se generará el calendario mismo de</w:t>
      </w:r>
      <w:r>
        <w:rPr>
          <w:spacing w:val="-5"/>
        </w:rPr>
        <w:t> </w:t>
      </w:r>
      <w:r>
        <w:rPr/>
        <w:t>elaboración.</w:t>
      </w:r>
    </w:p>
    <w:p>
      <w:pPr>
        <w:pStyle w:val="BodyText"/>
        <w:spacing w:before="1"/>
      </w:pPr>
    </w:p>
    <w:p>
      <w:pPr>
        <w:pStyle w:val="BodyText"/>
        <w:ind w:left="1082" w:right="854"/>
        <w:jc w:val="both"/>
      </w:pPr>
      <w:r>
        <w:rPr/>
        <w:t>Mediante los mecanismos orgánicos de la Nación Quechua y los gubernativos de colecta de información como de eventos expresos de esta consulta se compilara la información de los planes de la nación Quechua y de sus gobiernos locales, con lo</w:t>
      </w:r>
    </w:p>
    <w:p>
      <w:pPr>
        <w:spacing w:after="0"/>
        <w:jc w:val="both"/>
        <w:sectPr>
          <w:pgSz w:w="11910" w:h="16840"/>
          <w:pgMar w:header="0" w:footer="922" w:top="1440" w:bottom="1200" w:left="620" w:right="280"/>
        </w:sectPr>
      </w:pPr>
    </w:p>
    <w:p>
      <w:pPr>
        <w:pStyle w:val="BodyText"/>
        <w:spacing w:before="73"/>
        <w:ind w:left="1082" w:right="849"/>
        <w:jc w:val="both"/>
      </w:pPr>
      <w:r>
        <w:rPr/>
        <w:t>cual y de manera inmediata se combinaran talleres y trabajo de gabinete participativos fundamentalmente en ambas Juntas dado su carácter vinculante, así como en reuniones con organizaciones y Ministerios sectoriales para su compatibilización con las agendas de país, sector y norma vigente.  Una  vez dotados de los documentos que reflejen este Plan y Programa con los alcances y enfoques solicitados, los dos 2 Documentos elaborados en coordinación con Organizaciones IOCs quechuas, serán tramitados  hasta lograr su  aprobación  por el Ministerio de Educación, apelando en este trance al cabildeo y acompañamiento permanente de las Organizaciones IOCs matrices y de la Nación Quechua, para su pronta aprobación , así como negociación que permita ajustar a los requisitos gubernativos precautelando el espíritu renovador que buscas señalar este Plan y Programa. Una vez aprobado como documento marco rector, generar un cronograma y mandatos a los diversos niveles e instancias internas de la Universidad para que armonicen y alineen sus acciones y enfoques a esta renovada matriz.</w:t>
      </w:r>
    </w:p>
    <w:p>
      <w:pPr>
        <w:pStyle w:val="BodyText"/>
        <w:spacing w:before="1"/>
      </w:pPr>
    </w:p>
    <w:p>
      <w:pPr>
        <w:pStyle w:val="BodyText"/>
        <w:ind w:left="1082" w:right="848"/>
        <w:jc w:val="both"/>
      </w:pPr>
      <w:r>
        <w:rPr/>
        <w:t>De forma escalonada aunque parcialmente paralela, se dotara a este plan como instrumento rector, de un  sistema de  evaluación/incentivo  académico, Aplicación de sistema de evaluación/incentivo académico permanente , generado tanto en talleres específicos o en los señalados anteriormente así como consultorías que además de la construcción del sistema, realicen la línea base y las herramientas cibernéticas necesarias, de forma que al final de esta elaboración comunitaria de Sistema de Evaluación/incentivo académico , se cuente con un Documento de Sistema de Evaluación/incentivos elaborado, el que pueda ser aplicado desde una Unidad de evaluación académica a crearse, misma que alimente la información y genere los instrumentos de aplicación Sistema de Evaluación / incentivo de forma Semestral, jerarquizando así permanentemente el ejercicio y la calidad de la cátedra Y Ciclo formativo que se desarrolle en la UNIBOL como materialización de un Plan y Programa Académico portador de un episteme con propia característica y rigurosidad reconocible en el ámbito académico y del Desarrollo en el</w:t>
      </w:r>
      <w:r>
        <w:rPr>
          <w:spacing w:val="-16"/>
        </w:rPr>
        <w:t> </w:t>
      </w:r>
      <w:r>
        <w:rPr/>
        <w:t>País.</w:t>
      </w:r>
    </w:p>
    <w:p>
      <w:pPr>
        <w:pStyle w:val="BodyText"/>
        <w:spacing w:before="3"/>
      </w:pPr>
    </w:p>
    <w:p>
      <w:pPr>
        <w:pStyle w:val="BodyText"/>
        <w:spacing w:line="276" w:lineRule="auto" w:before="1"/>
        <w:ind w:left="1082" w:right="846"/>
        <w:jc w:val="both"/>
      </w:pPr>
      <w:r>
        <w:rPr/>
        <w:t>Se deberá lograr el funcionamiento óptimo de las cuatro carreras de pregrado reajustadas y/o establecidas constituyéndose en herramientas tecnológicas en el posicionamiento estratégico de la producción de la Nación Quechua como actor central de la soberanía alimentaria, posibilitando el egreso de sucesivas promociones de nuevos profesionales en pregrado y que perfeccionen </w:t>
      </w:r>
      <w:r>
        <w:rPr>
          <w:spacing w:val="3"/>
        </w:rPr>
        <w:t>sus</w:t>
      </w:r>
      <w:r>
        <w:rPr>
          <w:spacing w:val="72"/>
        </w:rPr>
        <w:t> </w:t>
      </w:r>
      <w:r>
        <w:rPr/>
        <w:t>destrezas en posgrado en cada año del quinquenio, entendiéndose que la nueva curricula aplicada le permite contar con capacidades estratégicas  en  la  optimización productiva del ámbito quechua, especialmente en la intensificación y transformación</w:t>
      </w:r>
      <w:r>
        <w:rPr>
          <w:spacing w:val="15"/>
        </w:rPr>
        <w:t> </w:t>
      </w:r>
      <w:r>
        <w:rPr/>
        <w:t>de</w:t>
      </w:r>
      <w:r>
        <w:rPr>
          <w:spacing w:val="15"/>
        </w:rPr>
        <w:t> </w:t>
      </w:r>
      <w:r>
        <w:rPr/>
        <w:t>la</w:t>
      </w:r>
      <w:r>
        <w:rPr>
          <w:spacing w:val="15"/>
        </w:rPr>
        <w:t> </w:t>
      </w:r>
      <w:r>
        <w:rPr/>
        <w:t>producción</w:t>
      </w:r>
      <w:r>
        <w:rPr>
          <w:spacing w:val="17"/>
        </w:rPr>
        <w:t> </w:t>
      </w:r>
      <w:r>
        <w:rPr/>
        <w:t>primaria</w:t>
      </w:r>
      <w:r>
        <w:rPr>
          <w:spacing w:val="15"/>
        </w:rPr>
        <w:t> </w:t>
      </w:r>
      <w:r>
        <w:rPr/>
        <w:t>en</w:t>
      </w:r>
      <w:r>
        <w:rPr>
          <w:spacing w:val="13"/>
        </w:rPr>
        <w:t> </w:t>
      </w:r>
      <w:r>
        <w:rPr/>
        <w:t>reciprocidad</w:t>
      </w:r>
      <w:r>
        <w:rPr>
          <w:spacing w:val="16"/>
        </w:rPr>
        <w:t> </w:t>
      </w:r>
      <w:r>
        <w:rPr/>
        <w:t>con</w:t>
      </w:r>
      <w:r>
        <w:rPr>
          <w:spacing w:val="15"/>
        </w:rPr>
        <w:t> </w:t>
      </w:r>
      <w:r>
        <w:rPr/>
        <w:t>la</w:t>
      </w:r>
      <w:r>
        <w:rPr>
          <w:spacing w:val="15"/>
        </w:rPr>
        <w:t> </w:t>
      </w:r>
      <w:r>
        <w:rPr/>
        <w:t>Madre </w:t>
      </w:r>
      <w:r>
        <w:rPr>
          <w:spacing w:val="31"/>
        </w:rPr>
        <w:t> </w:t>
      </w:r>
      <w:r>
        <w:rPr/>
        <w:t>Naturaleza.</w:t>
      </w:r>
    </w:p>
    <w:p>
      <w:pPr>
        <w:pStyle w:val="BodyText"/>
        <w:rPr>
          <w:sz w:val="26"/>
        </w:rPr>
      </w:pPr>
    </w:p>
    <w:p>
      <w:pPr>
        <w:pStyle w:val="BodyText"/>
        <w:spacing w:line="276" w:lineRule="auto" w:before="219"/>
        <w:ind w:left="1082" w:right="852"/>
        <w:jc w:val="both"/>
      </w:pPr>
      <w:r>
        <w:rPr/>
        <w:t>Esto será posible a partir de una acción constitutiva cuan es la Concertación de los ejes y prioridades productivas que las diversas territorialidades quechuas tengan actualmente o potencialmente alberguen, los ejes corresponden a la peculiar vocación de cada territorialidad meso que en un marco de crianza de diversidad signifique a la vez especialidad productiva complementaria con dicha diversidad, les permita </w:t>
      </w:r>
      <w:r>
        <w:rPr>
          <w:spacing w:val="44"/>
        </w:rPr>
        <w:t> </w:t>
      </w:r>
      <w:r>
        <w:rPr/>
        <w:t>generar </w:t>
      </w:r>
      <w:r>
        <w:rPr>
          <w:spacing w:val="46"/>
        </w:rPr>
        <w:t> </w:t>
      </w:r>
      <w:r>
        <w:rPr/>
        <w:t>excedentes</w:t>
      </w:r>
      <w:r>
        <w:rPr>
          <w:spacing w:val="24"/>
        </w:rPr>
        <w:t> </w:t>
      </w:r>
      <w:r>
        <w:rPr/>
        <w:t>productivos</w:t>
      </w:r>
      <w:r>
        <w:rPr>
          <w:spacing w:val="22"/>
        </w:rPr>
        <w:t> </w:t>
      </w:r>
      <w:r>
        <w:rPr/>
        <w:t>y</w:t>
      </w:r>
      <w:r>
        <w:rPr>
          <w:spacing w:val="22"/>
        </w:rPr>
        <w:t> </w:t>
      </w:r>
      <w:r>
        <w:rPr/>
        <w:t>contribución</w:t>
      </w:r>
      <w:r>
        <w:rPr>
          <w:spacing w:val="23"/>
        </w:rPr>
        <w:t> </w:t>
      </w:r>
      <w:r>
        <w:rPr/>
        <w:t>a</w:t>
      </w:r>
      <w:r>
        <w:rPr>
          <w:spacing w:val="23"/>
        </w:rPr>
        <w:t> </w:t>
      </w:r>
      <w:r>
        <w:rPr/>
        <w:t>la</w:t>
      </w:r>
      <w:r>
        <w:rPr>
          <w:spacing w:val="22"/>
        </w:rPr>
        <w:t> </w:t>
      </w:r>
      <w:r>
        <w:rPr/>
        <w:t>soberanía</w:t>
      </w:r>
      <w:r>
        <w:rPr>
          <w:spacing w:val="23"/>
        </w:rPr>
        <w:t> </w:t>
      </w:r>
      <w:r>
        <w:rPr/>
        <w:t>alimentaria</w:t>
      </w:r>
    </w:p>
    <w:p>
      <w:pPr>
        <w:spacing w:after="0" w:line="276" w:lineRule="auto"/>
        <w:jc w:val="both"/>
        <w:sectPr>
          <w:pgSz w:w="11910" w:h="16840"/>
          <w:pgMar w:header="0" w:footer="922" w:top="1320" w:bottom="1200" w:left="620" w:right="280"/>
        </w:sectPr>
      </w:pPr>
    </w:p>
    <w:p>
      <w:pPr>
        <w:pStyle w:val="BodyText"/>
        <w:spacing w:line="276" w:lineRule="auto" w:before="76"/>
        <w:ind w:left="1082" w:right="847"/>
        <w:jc w:val="both"/>
      </w:pPr>
      <w:r>
        <w:rPr/>
        <w:t>boliviana y propia. Para ello se deberán concertar un circuito o Muyu consultivo, en el que se realicen Reuniones y talleres de diálogo de saberes intercultural y concertación entre las Organizaciones IOCs como productores y personeros de la Unibol Quechua, en base y/o impulsando la aprobación de Documentos resolutivos de las organizaciones IOCs tanto del nivel Plurinacional, Departamental como regional de las territorialidades con presencia destacada de la Nación Quechua.  Este proceso implica además de la dicha identificación y colecta, de ejes y prioridades, asimilar los mandatos y expectativas que aquellos  señalan para  el perfil profesional o de aporte tecnológico que esperan de un especialista  universitario para el estado de desarrollo que tienen o proyectan las territorialidades para sí. Este proceso necesariamente estará enmarcado en los desafíos y planes que signifiquen para el ámbito quechua las macronormativas generales  y  sectoriales vigentes, referidas a la producción para el siguiente quinquenio, como ser la Agenda patriótica, Sembrado Bolivia, la Revolución Productiva Comunitaria y las Ciudadelas del conocimiento y la</w:t>
      </w:r>
      <w:r>
        <w:rPr>
          <w:spacing w:val="-4"/>
        </w:rPr>
        <w:t> </w:t>
      </w:r>
      <w:r>
        <w:rPr/>
        <w:t>tecnología.</w:t>
      </w:r>
    </w:p>
    <w:p>
      <w:pPr>
        <w:pStyle w:val="BodyText"/>
        <w:spacing w:line="276" w:lineRule="auto" w:before="201"/>
        <w:ind w:left="1082" w:right="848"/>
        <w:jc w:val="both"/>
      </w:pPr>
      <w:r>
        <w:rPr/>
        <w:t>Con este marco de mandatos y desafíos, se procederá al Rediseño curricular en las actuales carreras de pregrado, tanto por carrera como mancomunadamente en un enfoque también de especialidad y transdiciplinariedad complementaria, entendiéndose que el ámbito de intervención y la característica de la UNIBOL Quechua desde este PEI hacia adelante, es actuar en el Desarrollo Territorial y no solo en la producción de finca o factoría. Se propone la realización de Talleres de rediseño Curricular intra e inter carreras en función de los dichos ejes y prioridades productivas comunitarias IOC, con la asistencia técnica conveniente para la sistematización e interculturalidad necesaria; como resultado de esta dinámica interna y de las consultas y consensos antes señalados, se deberán diseñar 4 Documentos que contengan la nueva malla curricular, el perfil profesional, la metodología de su aplicación y otros que la norma exija, siendo  estas currículas  una vez diseñadas, presentados, sustentados técnica y normativamente ante las instancias académicas y de autoridad sectorial desarrollando todas las acciones necesarias hasta lograra que sean aprobados. Estos documentos en un compendio que a la vez refleje la interdependencia entre las carreras y especialidades, serán asumidos para el dicho trámite integral como un todo por las instancias directivas y de gestión de la Unibol Quechua, en una carpeta</w:t>
      </w:r>
      <w:r>
        <w:rPr>
          <w:spacing w:val="-10"/>
        </w:rPr>
        <w:t> </w:t>
      </w:r>
      <w:r>
        <w:rPr/>
        <w:t>única.</w:t>
      </w:r>
    </w:p>
    <w:p>
      <w:pPr>
        <w:pStyle w:val="BodyText"/>
        <w:spacing w:line="276" w:lineRule="auto" w:before="201"/>
        <w:ind w:left="1082" w:right="848"/>
        <w:jc w:val="both"/>
      </w:pPr>
      <w:r>
        <w:rPr/>
        <w:t>Aprobado que fuera la nueva curricula, será implementada de forma inmediata, se adecuara a la misma el pensum  de todos los grados excepto quienes  estuvieran  en el año de egreso en el primer año de su aplicación. Cada materia a la cabeza del titular de catedra: el docente, reflejara en los contenidos y la metodología lo que este señalado en el plan. . Dado el carácter aplicado que exige la formación en las ingenierías y la interdisciplinariedad de las especialidades que se propone, deberán realizar las adecuaciones tanto de los ambientes, equipos y particularmente la catedra misma a lo largo de cada año, Esta adecuación deberán ser reflejados en los</w:t>
      </w:r>
      <w:r>
        <w:rPr>
          <w:spacing w:val="42"/>
        </w:rPr>
        <w:t> </w:t>
      </w:r>
      <w:r>
        <w:rPr/>
        <w:t>Documentos</w:t>
      </w:r>
      <w:r>
        <w:rPr>
          <w:spacing w:val="42"/>
        </w:rPr>
        <w:t> </w:t>
      </w:r>
      <w:r>
        <w:rPr/>
        <w:t>de</w:t>
      </w:r>
      <w:r>
        <w:rPr>
          <w:spacing w:val="42"/>
        </w:rPr>
        <w:t> </w:t>
      </w:r>
      <w:r>
        <w:rPr/>
        <w:t>Informes</w:t>
      </w:r>
      <w:r>
        <w:rPr>
          <w:spacing w:val="42"/>
        </w:rPr>
        <w:t> </w:t>
      </w:r>
      <w:r>
        <w:rPr/>
        <w:t>de</w:t>
      </w:r>
      <w:r>
        <w:rPr>
          <w:spacing w:val="42"/>
        </w:rPr>
        <w:t> </w:t>
      </w:r>
      <w:r>
        <w:rPr/>
        <w:t>currículos</w:t>
      </w:r>
      <w:r>
        <w:rPr>
          <w:spacing w:val="18"/>
        </w:rPr>
        <w:t> </w:t>
      </w:r>
      <w:r>
        <w:rPr/>
        <w:t>implementados</w:t>
      </w:r>
      <w:r>
        <w:rPr>
          <w:spacing w:val="39"/>
        </w:rPr>
        <w:t> </w:t>
      </w:r>
      <w:r>
        <w:rPr/>
        <w:t>en</w:t>
      </w:r>
      <w:r>
        <w:rPr>
          <w:spacing w:val="43"/>
        </w:rPr>
        <w:t> </w:t>
      </w:r>
      <w:r>
        <w:rPr/>
        <w:t>cada</w:t>
      </w:r>
      <w:r>
        <w:rPr>
          <w:spacing w:val="19"/>
        </w:rPr>
        <w:t> </w:t>
      </w:r>
      <w:r>
        <w:rPr/>
        <w:t>carrera</w:t>
      </w:r>
      <w:r>
        <w:rPr>
          <w:spacing w:val="42"/>
        </w:rPr>
        <w:t> </w:t>
      </w:r>
      <w:r>
        <w:rPr/>
        <w:t>2ue</w:t>
      </w:r>
    </w:p>
    <w:p>
      <w:pPr>
        <w:spacing w:after="0" w:line="276" w:lineRule="auto"/>
        <w:jc w:val="both"/>
        <w:sectPr>
          <w:pgSz w:w="11910" w:h="16840"/>
          <w:pgMar w:header="0" w:footer="922" w:top="1320" w:bottom="1200" w:left="620" w:right="280"/>
        </w:sectPr>
      </w:pPr>
    </w:p>
    <w:p>
      <w:pPr>
        <w:pStyle w:val="BodyText"/>
        <w:spacing w:line="276" w:lineRule="auto" w:before="76"/>
        <w:ind w:left="1082" w:right="854"/>
        <w:jc w:val="both"/>
      </w:pPr>
      <w:r>
        <w:rPr/>
        <w:t>Docentes y Dirección de carrera deberán evacuar s instancia superior periódicamente a lo largo de los 5 años. De la dinámica que se le dé a esta implementación dependerá el poder afirmar que la UNIBOL genera un nuevo tipo de profesional a ser reconocido por su formación diferente con calidad y un alto número de horas de aplicación práctica durante toda su</w:t>
      </w:r>
      <w:r>
        <w:rPr>
          <w:spacing w:val="-11"/>
        </w:rPr>
        <w:t> </w:t>
      </w:r>
      <w:r>
        <w:rPr/>
        <w:t>preparación.</w:t>
      </w:r>
    </w:p>
    <w:p>
      <w:pPr>
        <w:pStyle w:val="BodyText"/>
        <w:spacing w:line="276" w:lineRule="auto" w:before="201"/>
        <w:ind w:left="1082" w:right="847"/>
        <w:jc w:val="both"/>
      </w:pPr>
      <w:r>
        <w:rPr/>
        <w:t>Se considera que la mayor exigencia es dedicar el máximo de esfuerzo posible al desarrollo de las carreras actuales y la alta exigencias de formación, por lo que la creación de nuevas carreras deberá ser analizado productivamente, donde no solamente la presión externa o la intención de crecer predominen sino el establecimiento de carreras que signifiquen un aporte determinante a la a la intensificación de la producción en la territorialidad quechua, como a contribuir a una intervención integral de los profesionales sobre las territorialidades priorizadas. En ese orden se sugiere estudiar una carrera referida a la crianza del agua y su aprovechamiento hidráulico, dado que son los valles el entorno principal quechua y la carencia del agua es una constante no existiendo en el país  una especialidad  que dedique su tarea la integralidad del beneficio del</w:t>
      </w:r>
      <w:r>
        <w:rPr>
          <w:spacing w:val="-13"/>
        </w:rPr>
        <w:t> </w:t>
      </w:r>
      <w:r>
        <w:rPr/>
        <w:t>agua</w:t>
      </w:r>
    </w:p>
    <w:p>
      <w:pPr>
        <w:pStyle w:val="BodyText"/>
        <w:spacing w:line="276" w:lineRule="auto" w:before="201"/>
        <w:ind w:left="1082" w:right="854"/>
        <w:jc w:val="both"/>
      </w:pPr>
      <w:r>
        <w:rPr/>
        <w:t>Por este tipo de consideraciones una vez logrado el trámite de los Documentos de diseño de Planes de Carrera- previo a su lanzamiento como oferta, necesariamente esta debe ser implementada tanto con una logística conveniente y con la  selección  y contratación de docentes y personal de apoyo exclusivos, que permitan preparar expertos en un medio donde las horas de aplicación permanente e intensa sea mayor que las horas aula, como corresponde a una ingeniería, debiendo existir la documentación de contratación de docentes y compra de bienes, ejecutado a lo sumo en el primer semestre del inicio dela carrera en cuestión. Se propone que dicha carrera continúe teniendo su centro de acción en la ciudadela universitaria de Chimore y no se la considere aun como la creación de una unidad</w:t>
      </w:r>
      <w:r>
        <w:rPr>
          <w:spacing w:val="-24"/>
        </w:rPr>
        <w:t> </w:t>
      </w:r>
      <w:r>
        <w:rPr/>
        <w:t>desconcentrada.</w:t>
      </w:r>
    </w:p>
    <w:p>
      <w:pPr>
        <w:pStyle w:val="BodyText"/>
        <w:spacing w:line="276" w:lineRule="auto" w:before="201"/>
        <w:ind w:left="1082" w:right="850"/>
        <w:jc w:val="both"/>
      </w:pPr>
      <w:r>
        <w:rPr/>
        <w:t>Así como se dé lugar a esta revitalización de las carreas existentes y nuevas de pregrado, tanto al presente ya existe un grupo de egresados y estimando que en los</w:t>
      </w:r>
    </w:p>
    <w:p>
      <w:pPr>
        <w:pStyle w:val="BodyText"/>
        <w:spacing w:line="276" w:lineRule="auto"/>
        <w:ind w:left="1082" w:right="848"/>
        <w:jc w:val="both"/>
      </w:pPr>
      <w:r>
        <w:rPr/>
        <w:t>5 años de duración de este PEI, un importante sector de estudiantes estarán egresados y titulados, es conveniente la creación de un el nexo para acompañar su actualización y permanente cualificación que contribuya a un mejor posicionamiento de los mismos en el ámbito laboral, de servicio, como en el emprendedurismo, diseñándose e implementándose cursos de post grado presencial y semipresencial de nivel maestría, en aquellas experticias que la demanda señale y que también permitan una mejor capacidad de acción con los enfoque productivos y de gestión que tenían y tienen las culturas IOCs del país. Diseñados estos como parte de una estrategia de post grado, se realizara la debida articulación con los docentes especialistas a contratarse para cada ciclo anual de postgrado.</w:t>
      </w:r>
    </w:p>
    <w:p>
      <w:pPr>
        <w:spacing w:after="0" w:line="276" w:lineRule="auto"/>
        <w:jc w:val="both"/>
        <w:sectPr>
          <w:pgSz w:w="11910" w:h="16840"/>
          <w:pgMar w:header="0" w:footer="922" w:top="1320" w:bottom="1200" w:left="620" w:right="280"/>
        </w:sectPr>
      </w:pPr>
    </w:p>
    <w:p>
      <w:pPr>
        <w:pStyle w:val="BodyText"/>
      </w:pPr>
    </w:p>
    <w:p>
      <w:pPr>
        <w:spacing w:before="59"/>
        <w:ind w:left="2162" w:right="0" w:firstLine="0"/>
        <w:jc w:val="left"/>
        <w:rPr>
          <w:rFonts w:ascii="Calibri"/>
          <w:b/>
          <w:sz w:val="20"/>
        </w:rPr>
      </w:pPr>
      <w:r>
        <w:rPr>
          <w:rFonts w:ascii="Calibri"/>
          <w:b/>
          <w:sz w:val="20"/>
        </w:rPr>
        <w:t>LINEA DE ACCION 2 : INVESTIGACION APLICADA COMUNITARIA</w:t>
      </w:r>
    </w:p>
    <w:p>
      <w:pPr>
        <w:pStyle w:val="BodyText"/>
        <w:rPr>
          <w:rFonts w:ascii="Calibri"/>
          <w:b/>
          <w:sz w:val="20"/>
        </w:rPr>
      </w:pPr>
    </w:p>
    <w:tbl>
      <w:tblPr>
        <w:tblW w:w="0" w:type="auto"/>
        <w:jc w:val="left"/>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424"/>
        <w:gridCol w:w="1911"/>
        <w:gridCol w:w="1505"/>
        <w:gridCol w:w="403"/>
        <w:gridCol w:w="358"/>
        <w:gridCol w:w="1791"/>
        <w:gridCol w:w="414"/>
      </w:tblGrid>
      <w:tr>
        <w:trPr>
          <w:trHeight w:val="762" w:hRule="atLeast"/>
        </w:trPr>
        <w:tc>
          <w:tcPr>
            <w:tcW w:w="1378" w:type="dxa"/>
            <w:shd w:val="clear" w:color="auto" w:fill="6FAC46"/>
          </w:tcPr>
          <w:p>
            <w:pPr>
              <w:pStyle w:val="TableParagraph"/>
              <w:spacing w:before="3"/>
              <w:ind w:left="143"/>
              <w:rPr>
                <w:b/>
                <w:sz w:val="20"/>
              </w:rPr>
            </w:pPr>
            <w:r>
              <w:rPr>
                <w:b/>
                <w:color w:val="FFFFFF"/>
                <w:sz w:val="20"/>
              </w:rPr>
              <w:t>RESULTADOS</w:t>
            </w:r>
          </w:p>
        </w:tc>
        <w:tc>
          <w:tcPr>
            <w:tcW w:w="1424" w:type="dxa"/>
            <w:shd w:val="clear" w:color="auto" w:fill="6FAC46"/>
          </w:tcPr>
          <w:p>
            <w:pPr>
              <w:pStyle w:val="TableParagraph"/>
              <w:spacing w:line="278" w:lineRule="auto" w:before="1"/>
              <w:ind w:left="143" w:firstLine="88"/>
              <w:rPr>
                <w:b/>
                <w:sz w:val="20"/>
              </w:rPr>
            </w:pPr>
            <w:r>
              <w:rPr>
                <w:b/>
                <w:color w:val="FFFFFF"/>
                <w:sz w:val="20"/>
              </w:rPr>
              <w:t>INDICADOR ESTRATÉGICO</w:t>
            </w:r>
          </w:p>
        </w:tc>
        <w:tc>
          <w:tcPr>
            <w:tcW w:w="1911" w:type="dxa"/>
            <w:tcBorders>
              <w:right w:val="single" w:sz="6" w:space="0" w:color="000000"/>
            </w:tcBorders>
            <w:shd w:val="clear" w:color="auto" w:fill="6FAC46"/>
          </w:tcPr>
          <w:p>
            <w:pPr>
              <w:pStyle w:val="TableParagraph"/>
              <w:spacing w:before="3"/>
              <w:ind w:left="399"/>
              <w:rPr>
                <w:b/>
                <w:sz w:val="20"/>
              </w:rPr>
            </w:pPr>
            <w:r>
              <w:rPr>
                <w:b/>
                <w:color w:val="FFFFFF"/>
                <w:sz w:val="20"/>
              </w:rPr>
              <w:t>ACTIVIDADES</w:t>
            </w:r>
          </w:p>
        </w:tc>
        <w:tc>
          <w:tcPr>
            <w:tcW w:w="2266" w:type="dxa"/>
            <w:gridSpan w:val="3"/>
            <w:tcBorders>
              <w:left w:val="single" w:sz="6" w:space="0" w:color="000000"/>
            </w:tcBorders>
            <w:shd w:val="clear" w:color="auto" w:fill="6FAC46"/>
          </w:tcPr>
          <w:p>
            <w:pPr>
              <w:pStyle w:val="TableParagraph"/>
              <w:spacing w:before="3"/>
              <w:ind w:left="488"/>
              <w:rPr>
                <w:b/>
                <w:sz w:val="20"/>
              </w:rPr>
            </w:pPr>
            <w:r>
              <w:rPr>
                <w:b/>
                <w:color w:val="FFFFFF"/>
                <w:sz w:val="20"/>
              </w:rPr>
              <w:t>METODOLOGIA</w:t>
            </w:r>
          </w:p>
        </w:tc>
        <w:tc>
          <w:tcPr>
            <w:tcW w:w="2205" w:type="dxa"/>
            <w:gridSpan w:val="2"/>
            <w:shd w:val="clear" w:color="auto" w:fill="6FAC46"/>
          </w:tcPr>
          <w:p>
            <w:pPr>
              <w:pStyle w:val="TableParagraph"/>
              <w:spacing w:before="3"/>
              <w:ind w:left="527"/>
              <w:rPr>
                <w:b/>
                <w:sz w:val="20"/>
              </w:rPr>
            </w:pPr>
            <w:r>
              <w:rPr>
                <w:b/>
                <w:color w:val="FFFFFF"/>
                <w:sz w:val="20"/>
              </w:rPr>
              <w:t>INDICADORES</w:t>
            </w:r>
          </w:p>
        </w:tc>
      </w:tr>
      <w:tr>
        <w:trPr>
          <w:trHeight w:val="1221" w:hRule="atLeast"/>
        </w:trPr>
        <w:tc>
          <w:tcPr>
            <w:tcW w:w="1378" w:type="dxa"/>
            <w:vMerge w:val="restart"/>
            <w:tcBorders>
              <w:left w:val="single" w:sz="8" w:space="0" w:color="000000"/>
            </w:tcBorders>
            <w:shd w:val="clear" w:color="auto" w:fill="E1EEDA"/>
          </w:tcPr>
          <w:p>
            <w:pPr>
              <w:pStyle w:val="TableParagraph"/>
              <w:tabs>
                <w:tab w:pos="682" w:val="left" w:leader="none"/>
              </w:tabs>
              <w:ind w:left="69" w:right="57"/>
              <w:rPr>
                <w:sz w:val="20"/>
              </w:rPr>
            </w:pPr>
            <w:r>
              <w:rPr>
                <w:sz w:val="20"/>
              </w:rPr>
              <w:t>3. Se ejecuta un</w:t>
              <w:tab/>
            </w:r>
            <w:r>
              <w:rPr>
                <w:spacing w:val="-3"/>
                <w:sz w:val="20"/>
              </w:rPr>
              <w:t>sistema </w:t>
            </w:r>
            <w:r>
              <w:rPr>
                <w:sz w:val="20"/>
              </w:rPr>
              <w:t>permanente de</w:t>
            </w:r>
          </w:p>
          <w:p>
            <w:pPr>
              <w:pStyle w:val="TableParagraph"/>
              <w:tabs>
                <w:tab w:pos="997" w:val="left" w:leader="none"/>
                <w:tab w:pos="1203" w:val="left" w:leader="none"/>
              </w:tabs>
              <w:ind w:left="69" w:right="53"/>
              <w:rPr>
                <w:sz w:val="20"/>
              </w:rPr>
            </w:pPr>
            <w:r>
              <w:rPr>
                <w:sz w:val="20"/>
              </w:rPr>
              <w:t>aprendizaje- investigación aplicada comunitaria </w:t>
            </w:r>
            <w:r>
              <w:rPr>
                <w:spacing w:val="-7"/>
                <w:sz w:val="20"/>
              </w:rPr>
              <w:t>en </w:t>
            </w:r>
            <w:r>
              <w:rPr>
                <w:sz w:val="20"/>
              </w:rPr>
              <w:t>el pre y </w:t>
            </w:r>
            <w:r>
              <w:rPr>
                <w:spacing w:val="-4"/>
                <w:sz w:val="20"/>
              </w:rPr>
              <w:t>post </w:t>
            </w:r>
            <w:r>
              <w:rPr>
                <w:sz w:val="20"/>
              </w:rPr>
              <w:t>grado,</w:t>
              <w:tab/>
            </w:r>
            <w:r>
              <w:rPr>
                <w:spacing w:val="-6"/>
                <w:sz w:val="20"/>
              </w:rPr>
              <w:t>que </w:t>
            </w:r>
            <w:r>
              <w:rPr>
                <w:sz w:val="20"/>
              </w:rPr>
              <w:t>logre incorporar rescates</w:t>
              <w:tab/>
              <w:tab/>
            </w:r>
            <w:r>
              <w:rPr>
                <w:spacing w:val="-13"/>
                <w:sz w:val="20"/>
              </w:rPr>
              <w:t>e </w:t>
            </w:r>
            <w:r>
              <w:rPr>
                <w:sz w:val="20"/>
              </w:rPr>
              <w:t>innovaciones tecnológicas en función </w:t>
            </w:r>
            <w:r>
              <w:rPr>
                <w:spacing w:val="-6"/>
                <w:sz w:val="20"/>
              </w:rPr>
              <w:t>de </w:t>
            </w:r>
            <w:r>
              <w:rPr>
                <w:sz w:val="20"/>
              </w:rPr>
              <w:t>las prioridades productivas señaladas por las Organizaciones y Gobiernos de la Territorialidad de la </w:t>
            </w:r>
            <w:r>
              <w:rPr>
                <w:spacing w:val="-3"/>
                <w:sz w:val="20"/>
              </w:rPr>
              <w:t>Nación </w:t>
            </w:r>
            <w:r>
              <w:rPr>
                <w:sz w:val="20"/>
              </w:rPr>
              <w:t>Quechua</w:t>
            </w:r>
          </w:p>
        </w:tc>
        <w:tc>
          <w:tcPr>
            <w:tcW w:w="1424" w:type="dxa"/>
            <w:vMerge w:val="restart"/>
            <w:shd w:val="clear" w:color="auto" w:fill="E1EEDA"/>
          </w:tcPr>
          <w:p>
            <w:pPr>
              <w:pStyle w:val="TableParagraph"/>
              <w:spacing w:line="243" w:lineRule="exact"/>
              <w:ind w:left="73"/>
              <w:rPr>
                <w:sz w:val="20"/>
              </w:rPr>
            </w:pPr>
            <w:r>
              <w:rPr>
                <w:sz w:val="20"/>
              </w:rPr>
              <w:t>300</w:t>
            </w:r>
          </w:p>
          <w:p>
            <w:pPr>
              <w:pStyle w:val="TableParagraph"/>
              <w:tabs>
                <w:tab w:pos="1078" w:val="left" w:leader="none"/>
                <w:tab w:pos="1150" w:val="left" w:leader="none"/>
              </w:tabs>
              <w:ind w:left="73" w:right="57"/>
              <w:rPr>
                <w:sz w:val="20"/>
              </w:rPr>
            </w:pPr>
            <w:r>
              <w:rPr>
                <w:sz w:val="20"/>
              </w:rPr>
              <w:t>investigaciones realizadas rescatan</w:t>
              <w:tab/>
            </w:r>
            <w:r>
              <w:rPr>
                <w:spacing w:val="-5"/>
                <w:sz w:val="20"/>
              </w:rPr>
              <w:t>y/o </w:t>
            </w:r>
            <w:r>
              <w:rPr>
                <w:sz w:val="20"/>
              </w:rPr>
              <w:t>innovan tecnologías productivas aplicadas</w:t>
              <w:tab/>
              <w:tab/>
            </w:r>
            <w:r>
              <w:rPr>
                <w:spacing w:val="-9"/>
                <w:sz w:val="20"/>
              </w:rPr>
              <w:t>en</w:t>
            </w:r>
          </w:p>
          <w:p>
            <w:pPr>
              <w:pStyle w:val="TableParagraph"/>
              <w:spacing w:before="1"/>
              <w:ind w:left="73" w:right="57"/>
              <w:jc w:val="both"/>
              <w:rPr>
                <w:sz w:val="20"/>
              </w:rPr>
            </w:pPr>
            <w:r>
              <w:rPr>
                <w:sz w:val="20"/>
              </w:rPr>
              <w:t>60 Municipios, Regiones o Territorios IOCs al 4to trimestre del 5to año.</w:t>
            </w:r>
          </w:p>
        </w:tc>
        <w:tc>
          <w:tcPr>
            <w:tcW w:w="1911" w:type="dxa"/>
            <w:tcBorders>
              <w:right w:val="single" w:sz="6" w:space="0" w:color="000000"/>
            </w:tcBorders>
            <w:shd w:val="clear" w:color="auto" w:fill="E1EEDA"/>
          </w:tcPr>
          <w:p>
            <w:pPr>
              <w:pStyle w:val="TableParagraph"/>
              <w:tabs>
                <w:tab w:pos="502" w:val="left" w:leader="none"/>
              </w:tabs>
              <w:ind w:left="73" w:right="56"/>
              <w:rPr>
                <w:sz w:val="20"/>
              </w:rPr>
            </w:pPr>
            <w:r>
              <w:rPr>
                <w:sz w:val="20"/>
              </w:rPr>
              <w:t>8.</w:t>
              <w:tab/>
            </w:r>
            <w:r>
              <w:rPr>
                <w:spacing w:val="-1"/>
                <w:sz w:val="20"/>
              </w:rPr>
              <w:t>Funcionamiento </w:t>
            </w:r>
            <w:r>
              <w:rPr>
                <w:sz w:val="20"/>
              </w:rPr>
              <w:t>de</w:t>
              <w:tab/>
              <w:t>la Dirección </w:t>
            </w:r>
            <w:r>
              <w:rPr>
                <w:spacing w:val="-6"/>
                <w:sz w:val="20"/>
              </w:rPr>
              <w:t>de </w:t>
            </w:r>
            <w:r>
              <w:rPr>
                <w:sz w:val="20"/>
              </w:rPr>
              <w:t>Investigaciones Comunitarias</w:t>
            </w:r>
          </w:p>
          <w:p>
            <w:pPr>
              <w:pStyle w:val="TableParagraph"/>
              <w:spacing w:line="225" w:lineRule="exact"/>
              <w:ind w:left="73"/>
              <w:rPr>
                <w:sz w:val="20"/>
              </w:rPr>
            </w:pPr>
            <w:r>
              <w:rPr>
                <w:sz w:val="20"/>
              </w:rPr>
              <w:t>Aplicadas.</w:t>
            </w:r>
          </w:p>
        </w:tc>
        <w:tc>
          <w:tcPr>
            <w:tcW w:w="1505" w:type="dxa"/>
            <w:tcBorders>
              <w:left w:val="single" w:sz="6" w:space="0" w:color="000000"/>
              <w:right w:val="nil"/>
            </w:tcBorders>
            <w:shd w:val="clear" w:color="auto" w:fill="E1EEDA"/>
          </w:tcPr>
          <w:p>
            <w:pPr>
              <w:pStyle w:val="TableParagraph"/>
              <w:ind w:left="70"/>
              <w:rPr>
                <w:sz w:val="20"/>
              </w:rPr>
            </w:pPr>
            <w:r>
              <w:rPr>
                <w:sz w:val="20"/>
              </w:rPr>
              <w:t>Organización </w:t>
            </w:r>
            <w:r>
              <w:rPr>
                <w:w w:val="95"/>
                <w:sz w:val="20"/>
              </w:rPr>
              <w:t>implementación </w:t>
            </w:r>
            <w:r>
              <w:rPr>
                <w:sz w:val="20"/>
              </w:rPr>
              <w:t>Dirección Investigaciones</w:t>
            </w:r>
          </w:p>
        </w:tc>
        <w:tc>
          <w:tcPr>
            <w:tcW w:w="403" w:type="dxa"/>
            <w:tcBorders>
              <w:left w:val="nil"/>
              <w:right w:val="nil"/>
            </w:tcBorders>
            <w:shd w:val="clear" w:color="auto" w:fill="E1EEDA"/>
          </w:tcPr>
          <w:p>
            <w:pPr>
              <w:pStyle w:val="TableParagraph"/>
              <w:spacing w:before="11"/>
              <w:rPr>
                <w:b/>
                <w:sz w:val="19"/>
              </w:rPr>
            </w:pPr>
          </w:p>
          <w:p>
            <w:pPr>
              <w:pStyle w:val="TableParagraph"/>
              <w:spacing w:before="1"/>
              <w:ind w:left="122"/>
              <w:rPr>
                <w:sz w:val="20"/>
              </w:rPr>
            </w:pPr>
            <w:r>
              <w:rPr>
                <w:sz w:val="20"/>
              </w:rPr>
              <w:t>de</w:t>
            </w:r>
          </w:p>
        </w:tc>
        <w:tc>
          <w:tcPr>
            <w:tcW w:w="358" w:type="dxa"/>
            <w:tcBorders>
              <w:left w:val="nil"/>
            </w:tcBorders>
            <w:shd w:val="clear" w:color="auto" w:fill="E1EEDA"/>
          </w:tcPr>
          <w:p>
            <w:pPr>
              <w:pStyle w:val="TableParagraph"/>
              <w:ind w:left="91" w:right="54" w:firstLine="105"/>
              <w:jc w:val="both"/>
              <w:rPr>
                <w:sz w:val="20"/>
              </w:rPr>
            </w:pPr>
            <w:r>
              <w:rPr>
                <w:sz w:val="20"/>
              </w:rPr>
              <w:t>e la de</w:t>
            </w:r>
          </w:p>
        </w:tc>
        <w:tc>
          <w:tcPr>
            <w:tcW w:w="2205" w:type="dxa"/>
            <w:gridSpan w:val="2"/>
            <w:shd w:val="clear" w:color="auto" w:fill="E1EEDA"/>
          </w:tcPr>
          <w:p>
            <w:pPr>
              <w:pStyle w:val="TableParagraph"/>
              <w:tabs>
                <w:tab w:pos="1932" w:val="left" w:leader="none"/>
              </w:tabs>
              <w:spacing w:line="243" w:lineRule="exact"/>
              <w:ind w:left="72"/>
              <w:jc w:val="both"/>
              <w:rPr>
                <w:sz w:val="20"/>
              </w:rPr>
            </w:pPr>
            <w:r>
              <w:rPr>
                <w:sz w:val="20"/>
              </w:rPr>
              <w:t>Documentos</w:t>
              <w:tab/>
              <w:t>de</w:t>
            </w:r>
          </w:p>
          <w:p>
            <w:pPr>
              <w:pStyle w:val="TableParagraph"/>
              <w:tabs>
                <w:tab w:pos="1932" w:val="left" w:leader="none"/>
              </w:tabs>
              <w:ind w:left="72" w:right="56"/>
              <w:jc w:val="both"/>
              <w:rPr>
                <w:sz w:val="20"/>
              </w:rPr>
            </w:pPr>
            <w:r>
              <w:rPr>
                <w:sz w:val="20"/>
              </w:rPr>
              <w:t>contratación</w:t>
              <w:tab/>
            </w:r>
            <w:r>
              <w:rPr>
                <w:spacing w:val="-9"/>
                <w:sz w:val="20"/>
              </w:rPr>
              <w:t>de </w:t>
            </w:r>
            <w:r>
              <w:rPr>
                <w:sz w:val="20"/>
              </w:rPr>
              <w:t>docentes y compra de bienes,</w:t>
            </w:r>
            <w:r>
              <w:rPr>
                <w:spacing w:val="-1"/>
                <w:sz w:val="20"/>
              </w:rPr>
              <w:t> </w:t>
            </w:r>
            <w:r>
              <w:rPr>
                <w:sz w:val="20"/>
              </w:rPr>
              <w:t>ejecutado</w:t>
            </w:r>
          </w:p>
        </w:tc>
      </w:tr>
      <w:tr>
        <w:trPr>
          <w:trHeight w:val="977" w:hRule="atLeast"/>
        </w:trPr>
        <w:tc>
          <w:tcPr>
            <w:tcW w:w="1378" w:type="dxa"/>
            <w:vMerge/>
            <w:tcBorders>
              <w:top w:val="nil"/>
              <w:left w:val="single" w:sz="8" w:space="0" w:color="000000"/>
            </w:tcBorders>
            <w:shd w:val="clear" w:color="auto" w:fill="E1EEDA"/>
          </w:tcPr>
          <w:p>
            <w:pPr>
              <w:rPr>
                <w:sz w:val="2"/>
                <w:szCs w:val="2"/>
              </w:rPr>
            </w:pPr>
          </w:p>
        </w:tc>
        <w:tc>
          <w:tcPr>
            <w:tcW w:w="1424" w:type="dxa"/>
            <w:vMerge/>
            <w:tcBorders>
              <w:top w:val="nil"/>
            </w:tcBorders>
            <w:shd w:val="clear" w:color="auto" w:fill="E1EEDA"/>
          </w:tcPr>
          <w:p>
            <w:pPr>
              <w:rPr>
                <w:sz w:val="2"/>
                <w:szCs w:val="2"/>
              </w:rPr>
            </w:pPr>
          </w:p>
        </w:tc>
        <w:tc>
          <w:tcPr>
            <w:tcW w:w="1911" w:type="dxa"/>
            <w:tcBorders>
              <w:right w:val="single" w:sz="6" w:space="0" w:color="000000"/>
            </w:tcBorders>
            <w:shd w:val="clear" w:color="auto" w:fill="E1EEDA"/>
          </w:tcPr>
          <w:p>
            <w:pPr>
              <w:pStyle w:val="TableParagraph"/>
              <w:tabs>
                <w:tab w:pos="795" w:val="left" w:leader="none"/>
                <w:tab w:pos="1635" w:val="left" w:leader="none"/>
              </w:tabs>
              <w:ind w:left="73" w:right="53"/>
              <w:jc w:val="both"/>
              <w:rPr>
                <w:sz w:val="20"/>
              </w:rPr>
            </w:pPr>
            <w:r>
              <w:rPr>
                <w:sz w:val="20"/>
              </w:rPr>
              <w:t>9.</w:t>
              <w:tab/>
              <w:t>Diseño </w:t>
            </w:r>
            <w:r>
              <w:rPr>
                <w:spacing w:val="-6"/>
                <w:sz w:val="20"/>
              </w:rPr>
              <w:t>de </w:t>
            </w:r>
            <w:r>
              <w:rPr>
                <w:sz w:val="20"/>
              </w:rPr>
              <w:t>metodología</w:t>
              <w:tab/>
            </w:r>
            <w:r>
              <w:rPr>
                <w:spacing w:val="-8"/>
                <w:sz w:val="20"/>
              </w:rPr>
              <w:t>de </w:t>
            </w:r>
            <w:r>
              <w:rPr>
                <w:sz w:val="20"/>
              </w:rPr>
              <w:t>investigación en</w:t>
            </w:r>
            <w:r>
              <w:rPr>
                <w:spacing w:val="25"/>
                <w:sz w:val="20"/>
              </w:rPr>
              <w:t> </w:t>
            </w:r>
            <w:r>
              <w:rPr>
                <w:sz w:val="20"/>
              </w:rPr>
              <w:t>base</w:t>
            </w:r>
          </w:p>
          <w:p>
            <w:pPr>
              <w:pStyle w:val="TableParagraph"/>
              <w:spacing w:line="225" w:lineRule="exact"/>
              <w:ind w:left="73"/>
              <w:jc w:val="both"/>
              <w:rPr>
                <w:sz w:val="20"/>
              </w:rPr>
            </w:pPr>
            <w:r>
              <w:rPr>
                <w:sz w:val="20"/>
              </w:rPr>
              <w:t>a la Chakana</w:t>
            </w:r>
          </w:p>
        </w:tc>
        <w:tc>
          <w:tcPr>
            <w:tcW w:w="2266" w:type="dxa"/>
            <w:gridSpan w:val="3"/>
            <w:tcBorders>
              <w:left w:val="single" w:sz="6" w:space="0" w:color="000000"/>
            </w:tcBorders>
            <w:shd w:val="clear" w:color="auto" w:fill="E1EEDA"/>
          </w:tcPr>
          <w:p>
            <w:pPr>
              <w:pStyle w:val="TableParagraph"/>
              <w:tabs>
                <w:tab w:pos="1128" w:val="left" w:leader="none"/>
              </w:tabs>
              <w:ind w:left="70" w:right="56"/>
              <w:jc w:val="both"/>
              <w:rPr>
                <w:sz w:val="20"/>
              </w:rPr>
            </w:pPr>
            <w:r>
              <w:rPr>
                <w:sz w:val="20"/>
              </w:rPr>
              <w:t>Talleres de Metodologías de</w:t>
              <w:tab/>
            </w:r>
            <w:r>
              <w:rPr>
                <w:spacing w:val="-1"/>
                <w:sz w:val="20"/>
              </w:rPr>
              <w:t>Investigación </w:t>
            </w:r>
            <w:r>
              <w:rPr>
                <w:sz w:val="20"/>
              </w:rPr>
              <w:t>Comunitaria</w:t>
            </w:r>
          </w:p>
        </w:tc>
        <w:tc>
          <w:tcPr>
            <w:tcW w:w="1791" w:type="dxa"/>
            <w:tcBorders>
              <w:right w:val="nil"/>
            </w:tcBorders>
            <w:shd w:val="clear" w:color="auto" w:fill="E1EEDA"/>
          </w:tcPr>
          <w:p>
            <w:pPr>
              <w:pStyle w:val="TableParagraph"/>
              <w:ind w:left="72" w:right="108" w:firstLine="45"/>
              <w:rPr>
                <w:sz w:val="20"/>
              </w:rPr>
            </w:pPr>
            <w:r>
              <w:rPr>
                <w:w w:val="95"/>
                <w:sz w:val="20"/>
              </w:rPr>
              <w:t>Metodologías </w:t>
            </w:r>
            <w:r>
              <w:rPr>
                <w:sz w:val="20"/>
              </w:rPr>
              <w:t>aplicación</w:t>
            </w:r>
          </w:p>
        </w:tc>
        <w:tc>
          <w:tcPr>
            <w:tcW w:w="414" w:type="dxa"/>
            <w:tcBorders>
              <w:left w:val="nil"/>
            </w:tcBorders>
            <w:shd w:val="clear" w:color="auto" w:fill="E1EEDA"/>
          </w:tcPr>
          <w:p>
            <w:pPr>
              <w:pStyle w:val="TableParagraph"/>
              <w:spacing w:line="243" w:lineRule="exact"/>
              <w:ind w:left="124" w:right="37"/>
              <w:jc w:val="center"/>
              <w:rPr>
                <w:sz w:val="20"/>
              </w:rPr>
            </w:pPr>
            <w:r>
              <w:rPr>
                <w:sz w:val="20"/>
              </w:rPr>
              <w:t>en</w:t>
            </w:r>
          </w:p>
        </w:tc>
      </w:tr>
      <w:tr>
        <w:trPr>
          <w:trHeight w:val="1463" w:hRule="atLeast"/>
        </w:trPr>
        <w:tc>
          <w:tcPr>
            <w:tcW w:w="1378" w:type="dxa"/>
            <w:vMerge/>
            <w:tcBorders>
              <w:top w:val="nil"/>
              <w:left w:val="single" w:sz="8" w:space="0" w:color="000000"/>
            </w:tcBorders>
            <w:shd w:val="clear" w:color="auto" w:fill="E1EEDA"/>
          </w:tcPr>
          <w:p>
            <w:pPr>
              <w:rPr>
                <w:sz w:val="2"/>
                <w:szCs w:val="2"/>
              </w:rPr>
            </w:pPr>
          </w:p>
        </w:tc>
        <w:tc>
          <w:tcPr>
            <w:tcW w:w="1424" w:type="dxa"/>
            <w:vMerge/>
            <w:tcBorders>
              <w:top w:val="nil"/>
            </w:tcBorders>
            <w:shd w:val="clear" w:color="auto" w:fill="E1EEDA"/>
          </w:tcPr>
          <w:p>
            <w:pPr>
              <w:rPr>
                <w:sz w:val="2"/>
                <w:szCs w:val="2"/>
              </w:rPr>
            </w:pPr>
          </w:p>
        </w:tc>
        <w:tc>
          <w:tcPr>
            <w:tcW w:w="1911" w:type="dxa"/>
            <w:tcBorders>
              <w:right w:val="single" w:sz="6" w:space="0" w:color="000000"/>
            </w:tcBorders>
            <w:shd w:val="clear" w:color="auto" w:fill="E1EEDA"/>
          </w:tcPr>
          <w:p>
            <w:pPr>
              <w:pStyle w:val="TableParagraph"/>
              <w:ind w:left="73" w:right="52"/>
              <w:jc w:val="both"/>
              <w:rPr>
                <w:sz w:val="20"/>
              </w:rPr>
            </w:pPr>
            <w:r>
              <w:rPr>
                <w:sz w:val="20"/>
              </w:rPr>
              <w:t>10. Elaboración </w:t>
            </w:r>
            <w:r>
              <w:rPr>
                <w:spacing w:val="-6"/>
                <w:sz w:val="20"/>
              </w:rPr>
              <w:t>de </w:t>
            </w:r>
            <w:r>
              <w:rPr>
                <w:sz w:val="20"/>
              </w:rPr>
              <w:t>Plan quinquenal </w:t>
            </w:r>
            <w:r>
              <w:rPr>
                <w:spacing w:val="-12"/>
                <w:sz w:val="20"/>
              </w:rPr>
              <w:t>y </w:t>
            </w:r>
            <w:r>
              <w:rPr>
                <w:sz w:val="20"/>
              </w:rPr>
              <w:t>programas anuales de Investigaciones comunitarias</w:t>
            </w:r>
          </w:p>
          <w:p>
            <w:pPr>
              <w:pStyle w:val="TableParagraph"/>
              <w:spacing w:line="223" w:lineRule="exact"/>
              <w:ind w:left="73"/>
              <w:rPr>
                <w:sz w:val="20"/>
              </w:rPr>
            </w:pPr>
            <w:r>
              <w:rPr>
                <w:sz w:val="20"/>
              </w:rPr>
              <w:t>aplicadas.</w:t>
            </w:r>
          </w:p>
        </w:tc>
        <w:tc>
          <w:tcPr>
            <w:tcW w:w="2266" w:type="dxa"/>
            <w:gridSpan w:val="3"/>
            <w:tcBorders>
              <w:left w:val="single" w:sz="6" w:space="0" w:color="000000"/>
            </w:tcBorders>
            <w:shd w:val="clear" w:color="auto" w:fill="E1EEDA"/>
          </w:tcPr>
          <w:p>
            <w:pPr>
              <w:pStyle w:val="TableParagraph"/>
              <w:ind w:left="70"/>
              <w:rPr>
                <w:sz w:val="20"/>
              </w:rPr>
            </w:pPr>
            <w:r>
              <w:rPr>
                <w:sz w:val="20"/>
              </w:rPr>
              <w:t>Taller de elaboración de Plan quinquenal</w:t>
            </w:r>
          </w:p>
        </w:tc>
        <w:tc>
          <w:tcPr>
            <w:tcW w:w="2205" w:type="dxa"/>
            <w:gridSpan w:val="2"/>
            <w:shd w:val="clear" w:color="auto" w:fill="E1EEDA"/>
          </w:tcPr>
          <w:p>
            <w:pPr>
              <w:pStyle w:val="TableParagraph"/>
              <w:tabs>
                <w:tab w:pos="1932" w:val="left" w:leader="none"/>
              </w:tabs>
              <w:ind w:left="72" w:right="56"/>
              <w:jc w:val="both"/>
              <w:rPr>
                <w:sz w:val="20"/>
              </w:rPr>
            </w:pPr>
            <w:r>
              <w:rPr>
                <w:sz w:val="20"/>
              </w:rPr>
              <w:t>Documentos de Plan Quinquenal y programas anuales</w:t>
              <w:tab/>
            </w:r>
            <w:r>
              <w:rPr>
                <w:spacing w:val="-9"/>
                <w:sz w:val="20"/>
              </w:rPr>
              <w:t>en</w:t>
            </w:r>
          </w:p>
          <w:p>
            <w:pPr>
              <w:pStyle w:val="TableParagraph"/>
              <w:spacing w:line="244" w:lineRule="exact"/>
              <w:ind w:left="72"/>
              <w:rPr>
                <w:sz w:val="20"/>
              </w:rPr>
            </w:pPr>
            <w:r>
              <w:rPr>
                <w:sz w:val="20"/>
              </w:rPr>
              <w:t>implementación</w:t>
            </w:r>
          </w:p>
        </w:tc>
      </w:tr>
      <w:tr>
        <w:trPr>
          <w:trHeight w:val="1026" w:hRule="atLeast"/>
        </w:trPr>
        <w:tc>
          <w:tcPr>
            <w:tcW w:w="1378" w:type="dxa"/>
            <w:vMerge/>
            <w:tcBorders>
              <w:top w:val="nil"/>
              <w:left w:val="single" w:sz="8" w:space="0" w:color="000000"/>
            </w:tcBorders>
            <w:shd w:val="clear" w:color="auto" w:fill="E1EEDA"/>
          </w:tcPr>
          <w:p>
            <w:pPr>
              <w:rPr>
                <w:sz w:val="2"/>
                <w:szCs w:val="2"/>
              </w:rPr>
            </w:pPr>
          </w:p>
        </w:tc>
        <w:tc>
          <w:tcPr>
            <w:tcW w:w="1424" w:type="dxa"/>
            <w:vMerge/>
            <w:tcBorders>
              <w:top w:val="nil"/>
            </w:tcBorders>
            <w:shd w:val="clear" w:color="auto" w:fill="E1EEDA"/>
          </w:tcPr>
          <w:p>
            <w:pPr>
              <w:rPr>
                <w:sz w:val="2"/>
                <w:szCs w:val="2"/>
              </w:rPr>
            </w:pPr>
          </w:p>
        </w:tc>
        <w:tc>
          <w:tcPr>
            <w:tcW w:w="1911" w:type="dxa"/>
            <w:tcBorders>
              <w:right w:val="single" w:sz="6" w:space="0" w:color="000000"/>
            </w:tcBorders>
            <w:shd w:val="clear" w:color="auto" w:fill="E1EEDA"/>
          </w:tcPr>
          <w:p>
            <w:pPr>
              <w:pStyle w:val="TableParagraph"/>
              <w:ind w:left="73" w:right="54"/>
              <w:jc w:val="both"/>
              <w:rPr>
                <w:sz w:val="20"/>
              </w:rPr>
            </w:pPr>
            <w:r>
              <w:rPr>
                <w:sz w:val="20"/>
              </w:rPr>
              <w:t>11. Ejecución anual de investigaciones aplicadas para el rescate e innovación.</w:t>
            </w:r>
          </w:p>
        </w:tc>
        <w:tc>
          <w:tcPr>
            <w:tcW w:w="2266" w:type="dxa"/>
            <w:gridSpan w:val="3"/>
            <w:tcBorders>
              <w:left w:val="single" w:sz="6" w:space="0" w:color="000000"/>
            </w:tcBorders>
            <w:shd w:val="clear" w:color="auto" w:fill="E1EEDA"/>
          </w:tcPr>
          <w:p>
            <w:pPr>
              <w:pStyle w:val="TableParagraph"/>
              <w:ind w:left="70" w:right="56"/>
              <w:jc w:val="both"/>
              <w:rPr>
                <w:sz w:val="20"/>
              </w:rPr>
            </w:pPr>
            <w:r>
              <w:rPr>
                <w:sz w:val="20"/>
              </w:rPr>
              <w:t>Talleres de investigación por carreras y aplicación de investigaciones en comunidades</w:t>
            </w:r>
          </w:p>
        </w:tc>
        <w:tc>
          <w:tcPr>
            <w:tcW w:w="2205" w:type="dxa"/>
            <w:gridSpan w:val="2"/>
            <w:shd w:val="clear" w:color="auto" w:fill="E1EEDA"/>
          </w:tcPr>
          <w:p>
            <w:pPr>
              <w:pStyle w:val="TableParagraph"/>
              <w:ind w:left="72"/>
              <w:rPr>
                <w:sz w:val="20"/>
              </w:rPr>
            </w:pPr>
            <w:r>
              <w:rPr>
                <w:sz w:val="20"/>
              </w:rPr>
              <w:t>Informe de al menos 8 investigaciones aplicadas/año</w:t>
            </w:r>
          </w:p>
        </w:tc>
      </w:tr>
      <w:tr>
        <w:trPr>
          <w:trHeight w:val="1953" w:hRule="atLeast"/>
        </w:trPr>
        <w:tc>
          <w:tcPr>
            <w:tcW w:w="1378" w:type="dxa"/>
            <w:vMerge/>
            <w:tcBorders>
              <w:top w:val="nil"/>
              <w:left w:val="single" w:sz="8" w:space="0" w:color="000000"/>
            </w:tcBorders>
            <w:shd w:val="clear" w:color="auto" w:fill="E1EEDA"/>
          </w:tcPr>
          <w:p>
            <w:pPr>
              <w:rPr>
                <w:sz w:val="2"/>
                <w:szCs w:val="2"/>
              </w:rPr>
            </w:pPr>
          </w:p>
        </w:tc>
        <w:tc>
          <w:tcPr>
            <w:tcW w:w="1424" w:type="dxa"/>
            <w:vMerge/>
            <w:tcBorders>
              <w:top w:val="nil"/>
            </w:tcBorders>
            <w:shd w:val="clear" w:color="auto" w:fill="E1EEDA"/>
          </w:tcPr>
          <w:p>
            <w:pPr>
              <w:rPr>
                <w:sz w:val="2"/>
                <w:szCs w:val="2"/>
              </w:rPr>
            </w:pPr>
          </w:p>
        </w:tc>
        <w:tc>
          <w:tcPr>
            <w:tcW w:w="1911" w:type="dxa"/>
            <w:tcBorders>
              <w:right w:val="single" w:sz="6" w:space="0" w:color="000000"/>
            </w:tcBorders>
            <w:shd w:val="clear" w:color="auto" w:fill="E1EEDA"/>
          </w:tcPr>
          <w:p>
            <w:pPr>
              <w:pStyle w:val="TableParagraph"/>
              <w:tabs>
                <w:tab w:pos="581" w:val="left" w:leader="none"/>
                <w:tab w:pos="1549" w:val="left" w:leader="none"/>
                <w:tab w:pos="1639" w:val="left" w:leader="none"/>
                <w:tab w:pos="1750" w:val="left" w:leader="none"/>
              </w:tabs>
              <w:ind w:left="73" w:right="52"/>
              <w:rPr>
                <w:sz w:val="20"/>
              </w:rPr>
            </w:pPr>
            <w:r>
              <w:rPr>
                <w:sz w:val="20"/>
              </w:rPr>
              <w:t>12. Red de convenios y</w:t>
              <w:tab/>
              <w:t>alianzas</w:t>
              <w:tab/>
              <w:tab/>
            </w:r>
            <w:r>
              <w:rPr>
                <w:spacing w:val="-9"/>
                <w:sz w:val="20"/>
              </w:rPr>
              <w:t>de </w:t>
            </w:r>
            <w:r>
              <w:rPr>
                <w:sz w:val="20"/>
              </w:rPr>
              <w:t>corresponsabilidad para la ejecución de investigación aplicada</w:t>
              <w:tab/>
            </w:r>
            <w:r>
              <w:rPr>
                <w:spacing w:val="-6"/>
                <w:sz w:val="20"/>
              </w:rPr>
              <w:t>con </w:t>
            </w:r>
            <w:r>
              <w:rPr>
                <w:sz w:val="20"/>
              </w:rPr>
              <w:t>organizaciones</w:t>
              <w:tab/>
              <w:tab/>
              <w:tab/>
            </w:r>
            <w:r>
              <w:rPr>
                <w:spacing w:val="-14"/>
                <w:sz w:val="20"/>
              </w:rPr>
              <w:t>y</w:t>
            </w:r>
          </w:p>
          <w:p>
            <w:pPr>
              <w:pStyle w:val="TableParagraph"/>
              <w:spacing w:line="225" w:lineRule="exact"/>
              <w:ind w:left="73"/>
              <w:rPr>
                <w:sz w:val="20"/>
              </w:rPr>
            </w:pPr>
            <w:r>
              <w:rPr>
                <w:sz w:val="20"/>
              </w:rPr>
              <w:t>gobiernos</w:t>
            </w:r>
          </w:p>
        </w:tc>
        <w:tc>
          <w:tcPr>
            <w:tcW w:w="2266" w:type="dxa"/>
            <w:gridSpan w:val="3"/>
            <w:tcBorders>
              <w:left w:val="single" w:sz="6" w:space="0" w:color="000000"/>
            </w:tcBorders>
            <w:shd w:val="clear" w:color="auto" w:fill="E1EEDA"/>
          </w:tcPr>
          <w:p>
            <w:pPr>
              <w:pStyle w:val="TableParagraph"/>
              <w:tabs>
                <w:tab w:pos="1989" w:val="left" w:leader="none"/>
              </w:tabs>
              <w:spacing w:line="244" w:lineRule="exact"/>
              <w:ind w:left="70"/>
              <w:rPr>
                <w:sz w:val="20"/>
              </w:rPr>
            </w:pPr>
            <w:r>
              <w:rPr>
                <w:sz w:val="20"/>
              </w:rPr>
              <w:t>Establecimiento</w:t>
              <w:tab/>
              <w:t>de</w:t>
            </w:r>
          </w:p>
          <w:p>
            <w:pPr>
              <w:pStyle w:val="TableParagraph"/>
              <w:tabs>
                <w:tab w:pos="2105" w:val="left" w:leader="none"/>
              </w:tabs>
              <w:ind w:left="70"/>
              <w:rPr>
                <w:sz w:val="20"/>
              </w:rPr>
            </w:pPr>
            <w:r>
              <w:rPr>
                <w:sz w:val="20"/>
              </w:rPr>
              <w:t>relaciones</w:t>
              <w:tab/>
              <w:t>y</w:t>
            </w:r>
          </w:p>
          <w:p>
            <w:pPr>
              <w:pStyle w:val="TableParagraph"/>
              <w:tabs>
                <w:tab w:pos="1392" w:val="left" w:leader="none"/>
                <w:tab w:pos="1901" w:val="left" w:leader="none"/>
              </w:tabs>
              <w:spacing w:before="1"/>
              <w:ind w:left="70" w:right="56"/>
              <w:rPr>
                <w:sz w:val="20"/>
              </w:rPr>
            </w:pPr>
            <w:r>
              <w:rPr>
                <w:sz w:val="20"/>
              </w:rPr>
              <w:t>negociaciones</w:t>
              <w:tab/>
              <w:tab/>
            </w:r>
            <w:r>
              <w:rPr>
                <w:spacing w:val="-6"/>
                <w:sz w:val="20"/>
              </w:rPr>
              <w:t>con </w:t>
            </w:r>
            <w:r>
              <w:rPr>
                <w:sz w:val="20"/>
              </w:rPr>
              <w:t>diversas</w:t>
              <w:tab/>
            </w:r>
            <w:r>
              <w:rPr>
                <w:spacing w:val="-1"/>
                <w:sz w:val="20"/>
              </w:rPr>
              <w:t>instancias</w:t>
            </w:r>
          </w:p>
          <w:p>
            <w:pPr>
              <w:pStyle w:val="TableParagraph"/>
              <w:tabs>
                <w:tab w:pos="2095" w:val="left" w:leader="none"/>
              </w:tabs>
              <w:spacing w:line="243" w:lineRule="exact"/>
              <w:ind w:left="70"/>
              <w:rPr>
                <w:sz w:val="20"/>
              </w:rPr>
            </w:pPr>
            <w:r>
              <w:rPr>
                <w:sz w:val="20"/>
              </w:rPr>
              <w:t>nacionales</w:t>
              <w:tab/>
              <w:t>e</w:t>
            </w:r>
          </w:p>
          <w:p>
            <w:pPr>
              <w:pStyle w:val="TableParagraph"/>
              <w:tabs>
                <w:tab w:pos="1828" w:val="left" w:leader="none"/>
              </w:tabs>
              <w:spacing w:before="1"/>
              <w:ind w:left="70" w:right="56"/>
              <w:rPr>
                <w:sz w:val="20"/>
              </w:rPr>
            </w:pPr>
            <w:r>
              <w:rPr>
                <w:sz w:val="20"/>
              </w:rPr>
              <w:t>internacionales</w:t>
              <w:tab/>
            </w:r>
            <w:r>
              <w:rPr>
                <w:spacing w:val="-4"/>
                <w:sz w:val="20"/>
              </w:rPr>
              <w:t>para </w:t>
            </w:r>
            <w:r>
              <w:rPr>
                <w:sz w:val="20"/>
              </w:rPr>
              <w:t>firma de</w:t>
            </w:r>
            <w:r>
              <w:rPr>
                <w:spacing w:val="-2"/>
                <w:sz w:val="20"/>
              </w:rPr>
              <w:t> </w:t>
            </w:r>
            <w:r>
              <w:rPr>
                <w:sz w:val="20"/>
              </w:rPr>
              <w:t>convenios</w:t>
            </w:r>
          </w:p>
        </w:tc>
        <w:tc>
          <w:tcPr>
            <w:tcW w:w="1791" w:type="dxa"/>
            <w:tcBorders>
              <w:right w:val="nil"/>
            </w:tcBorders>
            <w:shd w:val="clear" w:color="auto" w:fill="E1EEDA"/>
          </w:tcPr>
          <w:p>
            <w:pPr>
              <w:pStyle w:val="TableParagraph"/>
              <w:ind w:left="72" w:right="108"/>
              <w:rPr>
                <w:sz w:val="20"/>
              </w:rPr>
            </w:pPr>
            <w:r>
              <w:rPr>
                <w:sz w:val="20"/>
              </w:rPr>
              <w:t>Documentos convenios firmados</w:t>
            </w:r>
          </w:p>
        </w:tc>
        <w:tc>
          <w:tcPr>
            <w:tcW w:w="414" w:type="dxa"/>
            <w:tcBorders>
              <w:left w:val="nil"/>
            </w:tcBorders>
            <w:shd w:val="clear" w:color="auto" w:fill="E1EEDA"/>
          </w:tcPr>
          <w:p>
            <w:pPr>
              <w:pStyle w:val="TableParagraph"/>
              <w:spacing w:line="244" w:lineRule="exact"/>
              <w:ind w:left="125" w:right="36"/>
              <w:jc w:val="center"/>
              <w:rPr>
                <w:sz w:val="20"/>
              </w:rPr>
            </w:pPr>
            <w:r>
              <w:rPr>
                <w:sz w:val="20"/>
              </w:rPr>
              <w:t>de</w:t>
            </w:r>
          </w:p>
        </w:tc>
      </w:tr>
    </w:tbl>
    <w:p>
      <w:pPr>
        <w:pStyle w:val="BodyText"/>
        <w:rPr>
          <w:rFonts w:ascii="Calibri"/>
          <w:b/>
          <w:sz w:val="20"/>
        </w:rPr>
      </w:pPr>
    </w:p>
    <w:p>
      <w:pPr>
        <w:pStyle w:val="BodyText"/>
        <w:spacing w:before="2"/>
        <w:rPr>
          <w:rFonts w:ascii="Calibri"/>
          <w:b/>
          <w:sz w:val="19"/>
        </w:rPr>
      </w:pPr>
    </w:p>
    <w:p>
      <w:pPr>
        <w:pStyle w:val="BodyText"/>
        <w:spacing w:line="276" w:lineRule="auto"/>
        <w:ind w:left="1082" w:right="849"/>
        <w:jc w:val="both"/>
      </w:pPr>
      <w:r>
        <w:rPr/>
        <w:t>Siendo la generación de conocimientos y la re dinamización de saberes aplicables en el fortalecimiento de la producción de los pueblos originarios, particularmente quechua, se ejecutara un sistema permanente de  aprendizaje-investigación  aplicada comunitaria tanto como parte de la formación en el pregrado, como la oferta de post grado sustantivamente debe ser de investigación aplicada, de manera que estos procesos de investigación logren incorporar rescates e innovaciones tecnológicas en función de las prioridades productivas señaladas por las Organizaciones y Gobiernos de la Territorialidad de la Nación Quechua anualmente investigaciones realizadas rescatan y/o innovan tecnologías productivas aplicadas en los Municipios, Regiones o Territorios IOCs que la concertación y planificación anual y quinquenal</w:t>
      </w:r>
      <w:r>
        <w:rPr>
          <w:spacing w:val="63"/>
        </w:rPr>
        <w:t> </w:t>
      </w:r>
      <w:r>
        <w:rPr/>
        <w:t>señalen.</w:t>
      </w:r>
    </w:p>
    <w:p>
      <w:pPr>
        <w:pStyle w:val="BodyText"/>
        <w:spacing w:line="276" w:lineRule="auto" w:before="200"/>
        <w:ind w:left="1082" w:right="851"/>
        <w:jc w:val="both"/>
      </w:pPr>
      <w:r>
        <w:rPr/>
        <w:t>Si bien la estructura de cada carrera y materia que requiera son las operadoras de  la investigación aplicada, siendo esta una acción institucional y </w:t>
      </w:r>
      <w:r>
        <w:rPr>
          <w:spacing w:val="4"/>
        </w:rPr>
        <w:t>de </w:t>
      </w:r>
      <w:r>
        <w:rPr/>
        <w:t>interacción con el contexto socio territorial de la UNIBOL, la misma debe ser monitoreada y regulada desde una instancia institucional específica, para lo que</w:t>
      </w:r>
      <w:r>
        <w:rPr>
          <w:spacing w:val="23"/>
        </w:rPr>
        <w:t> </w:t>
      </w:r>
      <w:r>
        <w:rPr/>
        <w:t>se implementará el pleno</w:t>
      </w:r>
    </w:p>
    <w:p>
      <w:pPr>
        <w:spacing w:after="0" w:line="276" w:lineRule="auto"/>
        <w:jc w:val="both"/>
        <w:sectPr>
          <w:pgSz w:w="11910" w:h="16840"/>
          <w:pgMar w:header="0" w:footer="922" w:top="1580" w:bottom="1200" w:left="620" w:right="280"/>
        </w:sectPr>
      </w:pPr>
    </w:p>
    <w:p>
      <w:pPr>
        <w:pStyle w:val="BodyText"/>
        <w:spacing w:line="276" w:lineRule="auto" w:before="76"/>
        <w:ind w:left="1082" w:right="848"/>
        <w:jc w:val="both"/>
      </w:pPr>
      <w:r>
        <w:rPr/>
        <w:t>funcionamiento de la Dirección de Investigaciones Comunitarias Aplicadas, con la debida capacidad de acción y fluidez en su trabajo de gabinete como de  seguimiento de campo, dotándose de los especialistas y logística conveniente en el menor</w:t>
      </w:r>
      <w:r>
        <w:rPr>
          <w:spacing w:val="-1"/>
        </w:rPr>
        <w:t> </w:t>
      </w:r>
      <w:r>
        <w:rPr/>
        <w:t>plazo.</w:t>
      </w:r>
    </w:p>
    <w:p>
      <w:pPr>
        <w:pStyle w:val="BodyText"/>
        <w:spacing w:line="276" w:lineRule="auto" w:before="201"/>
        <w:ind w:left="1082" w:right="847"/>
        <w:jc w:val="both"/>
      </w:pPr>
      <w:r>
        <w:rPr/>
        <w:t>Previamente y durante  su establecimiento, será fundamental ejecutar el diseño de  la metodología de investigación en base a la Chakana , así como realizar Talleres de Metodologías de Investigación Comunitaria con las poblaciones contraparte de estos procesos y los participantes académicos para que diseñen, articulen y ejecuten su investigación en este entorno metodológico, debiendo privilegiarse la aprobación de investigaciones que sea a lo menos intersectoriales sino transdisciplinarias, sin perder la particularidad del beneficio sectorial. Elaboración de Plan quinquenal y programas anuales de Investigaciones comunitarias</w:t>
      </w:r>
      <w:r>
        <w:rPr>
          <w:spacing w:val="-9"/>
        </w:rPr>
        <w:t> </w:t>
      </w:r>
      <w:r>
        <w:rPr/>
        <w:t>aplicadas.</w:t>
      </w:r>
    </w:p>
    <w:p>
      <w:pPr>
        <w:pStyle w:val="BodyText"/>
        <w:spacing w:line="276" w:lineRule="auto" w:before="201"/>
        <w:ind w:left="1082" w:right="848"/>
        <w:jc w:val="both"/>
      </w:pPr>
      <w:r>
        <w:rPr/>
        <w:t>La dirección impulsara un fundamental Taller de elaboración del Plan Quinquenal de investigación que señale estos preceptos y anualmente conciliara demanda y respuesta en programas anuales en implementación y la Ejecución de investigaciones aplicadas en contrastación permanente en comunidades de la territorialidad quechua, para el rescate e innovación tecnológica y de saberes por cada e inter carreras. Talleres de investigación por carreras y aplicación de investigaciones en comunidades, debiéndose evacuar informe públicos al cierre de cada campaña anual.</w:t>
      </w:r>
    </w:p>
    <w:p>
      <w:pPr>
        <w:pStyle w:val="BodyText"/>
        <w:spacing w:line="276" w:lineRule="auto" w:before="199"/>
        <w:ind w:left="1082" w:right="847"/>
        <w:jc w:val="both"/>
      </w:pPr>
      <w:r>
        <w:rPr/>
        <w:t>Para una buena efectivización de estas investigaciones y las mismas cuenten con condiciones a favor in situ , las instancias directivas del ámbito académico coadyuvaran a la constitución paulatina de una Red de convenios y alianzas de corresponsabilidad para la ejecución de investigación aplicada, mismas a firmarse con organizaciones y gobiernos subnacionales y entidades de Gobierno central, realizándose con el tiempo perentorio las relaciones y negociaciones con diversas instancias nacionales e internacionales particularmente en los periodos interciclos productivos de forma de garantizar su ejecución posterior junto al ciclo agrosilvopecuario de la respectiva gestión o de más gestiones. La existencia de estos acuerdos reflejando los aportes de corresponsabilidad financieros, logísticos y de contrapartes entre productores o técnicos, señalara la prioridad de las investigaciones a incorporarse en la</w:t>
      </w:r>
      <w:r>
        <w:rPr>
          <w:spacing w:val="-4"/>
        </w:rPr>
        <w:t> </w:t>
      </w:r>
      <w:r>
        <w:rPr/>
        <w:t>programación.</w:t>
      </w:r>
    </w:p>
    <w:p>
      <w:pPr>
        <w:spacing w:after="0" w:line="276" w:lineRule="auto"/>
        <w:jc w:val="both"/>
        <w:sectPr>
          <w:pgSz w:w="11910" w:h="16840"/>
          <w:pgMar w:header="0" w:footer="922" w:top="1320" w:bottom="1200" w:left="620" w:right="280"/>
        </w:sectPr>
      </w:pPr>
    </w:p>
    <w:p>
      <w:pPr>
        <w:pStyle w:val="BodyText"/>
      </w:pPr>
    </w:p>
    <w:p>
      <w:pPr>
        <w:spacing w:before="59"/>
        <w:ind w:left="2162" w:right="1143" w:firstLine="0"/>
        <w:jc w:val="left"/>
        <w:rPr>
          <w:rFonts w:ascii="Calibri"/>
          <w:b/>
          <w:sz w:val="20"/>
        </w:rPr>
      </w:pPr>
      <w:r>
        <w:rPr>
          <w:rFonts w:ascii="Calibri"/>
          <w:b/>
          <w:sz w:val="20"/>
        </w:rPr>
        <w:t>LINEA DE ACCION 3: COMPLEJO MULTIMODAL DEL SABER PRODUCTIVO INTERCULTURAL ( CSAPI)</w:t>
      </w:r>
    </w:p>
    <w:tbl>
      <w:tblPr>
        <w:tblW w:w="0" w:type="auto"/>
        <w:jc w:val="left"/>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1819"/>
        <w:gridCol w:w="1735"/>
        <w:gridCol w:w="1735"/>
        <w:gridCol w:w="2552"/>
      </w:tblGrid>
      <w:tr>
        <w:trPr>
          <w:trHeight w:val="762" w:hRule="atLeast"/>
        </w:trPr>
        <w:tc>
          <w:tcPr>
            <w:tcW w:w="1982" w:type="dxa"/>
            <w:shd w:val="clear" w:color="auto" w:fill="6FAC46"/>
          </w:tcPr>
          <w:p>
            <w:pPr>
              <w:pStyle w:val="TableParagraph"/>
              <w:spacing w:before="3"/>
              <w:ind w:left="446"/>
              <w:rPr>
                <w:b/>
                <w:sz w:val="20"/>
              </w:rPr>
            </w:pPr>
            <w:r>
              <w:rPr>
                <w:b/>
                <w:color w:val="FFFFFF"/>
                <w:sz w:val="20"/>
              </w:rPr>
              <w:t>RESULTADOS</w:t>
            </w:r>
          </w:p>
        </w:tc>
        <w:tc>
          <w:tcPr>
            <w:tcW w:w="1819" w:type="dxa"/>
            <w:shd w:val="clear" w:color="auto" w:fill="6FAC46"/>
          </w:tcPr>
          <w:p>
            <w:pPr>
              <w:pStyle w:val="TableParagraph"/>
              <w:spacing w:line="278" w:lineRule="auto" w:before="1"/>
              <w:ind w:left="343" w:right="52" w:firstLine="88"/>
              <w:rPr>
                <w:b/>
                <w:sz w:val="20"/>
              </w:rPr>
            </w:pPr>
            <w:r>
              <w:rPr>
                <w:b/>
                <w:color w:val="FFFFFF"/>
                <w:sz w:val="20"/>
              </w:rPr>
              <w:t>INDICADOR </w:t>
            </w:r>
            <w:r>
              <w:rPr>
                <w:b/>
                <w:color w:val="FFFFFF"/>
                <w:w w:val="95"/>
                <w:sz w:val="20"/>
              </w:rPr>
              <w:t>ESTRATÉGICO</w:t>
            </w:r>
          </w:p>
        </w:tc>
        <w:tc>
          <w:tcPr>
            <w:tcW w:w="1735" w:type="dxa"/>
            <w:shd w:val="clear" w:color="auto" w:fill="6FAC46"/>
          </w:tcPr>
          <w:p>
            <w:pPr>
              <w:pStyle w:val="TableParagraph"/>
              <w:spacing w:before="3"/>
              <w:ind w:left="315"/>
              <w:rPr>
                <w:b/>
                <w:sz w:val="20"/>
              </w:rPr>
            </w:pPr>
            <w:r>
              <w:rPr>
                <w:b/>
                <w:color w:val="FFFFFF"/>
                <w:sz w:val="20"/>
              </w:rPr>
              <w:t>ACTIVIDADES</w:t>
            </w:r>
          </w:p>
        </w:tc>
        <w:tc>
          <w:tcPr>
            <w:tcW w:w="1735" w:type="dxa"/>
            <w:shd w:val="clear" w:color="auto" w:fill="6FAC46"/>
          </w:tcPr>
          <w:p>
            <w:pPr>
              <w:pStyle w:val="TableParagraph"/>
              <w:spacing w:before="3"/>
              <w:ind w:left="229"/>
              <w:rPr>
                <w:b/>
                <w:sz w:val="20"/>
              </w:rPr>
            </w:pPr>
            <w:r>
              <w:rPr>
                <w:b/>
                <w:color w:val="FFFFFF"/>
                <w:sz w:val="20"/>
              </w:rPr>
              <w:t>METODOLOGIA</w:t>
            </w:r>
          </w:p>
        </w:tc>
        <w:tc>
          <w:tcPr>
            <w:tcW w:w="2552" w:type="dxa"/>
            <w:shd w:val="clear" w:color="auto" w:fill="6FAC46"/>
          </w:tcPr>
          <w:p>
            <w:pPr>
              <w:pStyle w:val="TableParagraph"/>
              <w:spacing w:before="3"/>
              <w:ind w:left="703"/>
              <w:rPr>
                <w:b/>
                <w:sz w:val="20"/>
              </w:rPr>
            </w:pPr>
            <w:r>
              <w:rPr>
                <w:b/>
                <w:color w:val="FFFFFF"/>
                <w:sz w:val="20"/>
              </w:rPr>
              <w:t>INDICADORES</w:t>
            </w:r>
          </w:p>
        </w:tc>
      </w:tr>
      <w:tr>
        <w:trPr>
          <w:trHeight w:val="1221" w:hRule="atLeast"/>
        </w:trPr>
        <w:tc>
          <w:tcPr>
            <w:tcW w:w="1982" w:type="dxa"/>
            <w:vMerge w:val="restart"/>
            <w:tcBorders>
              <w:left w:val="single" w:sz="8" w:space="0" w:color="000000"/>
            </w:tcBorders>
            <w:shd w:val="clear" w:color="auto" w:fill="E1EEDA"/>
          </w:tcPr>
          <w:p>
            <w:pPr>
              <w:pStyle w:val="TableParagraph"/>
              <w:tabs>
                <w:tab w:pos="448" w:val="left" w:leader="none"/>
                <w:tab w:pos="1225" w:val="left" w:leader="none"/>
                <w:tab w:pos="1697" w:val="left" w:leader="none"/>
                <w:tab w:pos="1765" w:val="left" w:leader="none"/>
              </w:tabs>
              <w:ind w:left="69" w:right="55"/>
              <w:rPr>
                <w:sz w:val="20"/>
              </w:rPr>
            </w:pPr>
            <w:r>
              <w:rPr>
                <w:sz w:val="20"/>
              </w:rPr>
              <w:t>4.</w:t>
              <w:tab/>
              <w:t>Consolidar</w:t>
              <w:tab/>
              <w:tab/>
            </w:r>
            <w:r>
              <w:rPr>
                <w:spacing w:val="-10"/>
                <w:sz w:val="20"/>
              </w:rPr>
              <w:t>el </w:t>
            </w:r>
            <w:r>
              <w:rPr>
                <w:sz w:val="20"/>
              </w:rPr>
              <w:t>servicio</w:t>
              <w:tab/>
              <w:t>de</w:t>
              <w:tab/>
            </w:r>
            <w:r>
              <w:rPr>
                <w:spacing w:val="-8"/>
                <w:sz w:val="20"/>
              </w:rPr>
              <w:t>un</w:t>
            </w:r>
          </w:p>
          <w:p>
            <w:pPr>
              <w:pStyle w:val="TableParagraph"/>
              <w:tabs>
                <w:tab w:pos="388" w:val="left" w:leader="none"/>
                <w:tab w:pos="1347" w:val="left" w:leader="none"/>
                <w:tab w:pos="1602" w:val="left" w:leader="none"/>
                <w:tab w:pos="1705" w:val="left" w:leader="none"/>
                <w:tab w:pos="1810" w:val="left" w:leader="none"/>
              </w:tabs>
              <w:ind w:left="69" w:right="52"/>
              <w:rPr>
                <w:sz w:val="20"/>
              </w:rPr>
            </w:pPr>
            <w:r>
              <w:rPr>
                <w:sz w:val="20"/>
              </w:rPr>
              <w:t>complejo</w:t>
              <w:tab/>
              <w:tab/>
              <w:tab/>
            </w:r>
            <w:r>
              <w:rPr>
                <w:spacing w:val="-7"/>
                <w:sz w:val="20"/>
              </w:rPr>
              <w:t>de </w:t>
            </w:r>
            <w:r>
              <w:rPr>
                <w:sz w:val="20"/>
              </w:rPr>
              <w:t>actualización, información y datos multimodal</w:t>
              <w:tab/>
              <w:tab/>
              <w:tab/>
              <w:tab/>
            </w:r>
            <w:r>
              <w:rPr>
                <w:spacing w:val="-15"/>
                <w:sz w:val="20"/>
              </w:rPr>
              <w:t>e </w:t>
            </w:r>
            <w:r>
              <w:rPr>
                <w:sz w:val="20"/>
              </w:rPr>
              <w:t>intercultural del saber y</w:t>
              <w:tab/>
              <w:t>situación</w:t>
              <w:tab/>
            </w:r>
            <w:r>
              <w:rPr>
                <w:spacing w:val="-3"/>
                <w:sz w:val="20"/>
              </w:rPr>
              <w:t>andino </w:t>
            </w:r>
            <w:r>
              <w:rPr>
                <w:sz w:val="20"/>
              </w:rPr>
              <w:t>amazónico</w:t>
              <w:tab/>
              <w:tab/>
            </w:r>
            <w:r>
              <w:rPr>
                <w:spacing w:val="-6"/>
                <w:sz w:val="20"/>
              </w:rPr>
              <w:t>que </w:t>
            </w:r>
            <w:r>
              <w:rPr>
                <w:sz w:val="20"/>
              </w:rPr>
              <w:t>alimente a la toma </w:t>
            </w:r>
            <w:r>
              <w:rPr>
                <w:spacing w:val="-6"/>
                <w:sz w:val="20"/>
              </w:rPr>
              <w:t>de </w:t>
            </w:r>
            <w:r>
              <w:rPr>
                <w:sz w:val="20"/>
              </w:rPr>
              <w:t>decisiones</w:t>
            </w:r>
          </w:p>
          <w:p>
            <w:pPr>
              <w:pStyle w:val="TableParagraph"/>
              <w:tabs>
                <w:tab w:pos="1705" w:val="left" w:leader="none"/>
              </w:tabs>
              <w:ind w:left="69" w:right="53"/>
              <w:jc w:val="both"/>
              <w:rPr>
                <w:sz w:val="20"/>
              </w:rPr>
            </w:pPr>
            <w:r>
              <w:rPr>
                <w:sz w:val="20"/>
              </w:rPr>
              <w:t>productivas en la territorialidad de </w:t>
            </w:r>
            <w:r>
              <w:rPr>
                <w:spacing w:val="-7"/>
                <w:sz w:val="20"/>
              </w:rPr>
              <w:t>la </w:t>
            </w:r>
            <w:r>
              <w:rPr>
                <w:sz w:val="20"/>
              </w:rPr>
              <w:t>nación quechua y la generación</w:t>
              <w:tab/>
            </w:r>
            <w:r>
              <w:rPr>
                <w:spacing w:val="-8"/>
                <w:sz w:val="20"/>
              </w:rPr>
              <w:t>de</w:t>
            </w:r>
          </w:p>
          <w:p>
            <w:pPr>
              <w:pStyle w:val="TableParagraph"/>
              <w:ind w:left="69" w:right="55"/>
              <w:jc w:val="both"/>
              <w:rPr>
                <w:sz w:val="20"/>
              </w:rPr>
            </w:pPr>
            <w:r>
              <w:rPr>
                <w:sz w:val="20"/>
              </w:rPr>
              <w:t>tecnologías en la Yachayllajta UNIBOL</w:t>
            </w:r>
          </w:p>
        </w:tc>
        <w:tc>
          <w:tcPr>
            <w:tcW w:w="1819" w:type="dxa"/>
            <w:vMerge w:val="restart"/>
            <w:shd w:val="clear" w:color="auto" w:fill="E1EEDA"/>
          </w:tcPr>
          <w:p>
            <w:pPr>
              <w:pStyle w:val="TableParagraph"/>
              <w:tabs>
                <w:tab w:pos="986" w:val="left" w:leader="none"/>
                <w:tab w:pos="1100" w:val="left" w:leader="none"/>
                <w:tab w:pos="1611" w:val="left" w:leader="none"/>
                <w:tab w:pos="1650" w:val="left" w:leader="none"/>
                <w:tab w:pos="1751" w:val="right" w:leader="none"/>
              </w:tabs>
              <w:ind w:left="74" w:right="52"/>
              <w:rPr>
                <w:sz w:val="20"/>
              </w:rPr>
            </w:pPr>
            <w:r>
              <w:rPr>
                <w:sz w:val="20"/>
              </w:rPr>
              <w:t>Complejo</w:t>
              <w:tab/>
              <w:tab/>
              <w:t>con</w:t>
              <w:tab/>
              <w:tab/>
            </w:r>
            <w:r>
              <w:rPr>
                <w:spacing w:val="-14"/>
                <w:sz w:val="20"/>
              </w:rPr>
              <w:t>1 </w:t>
            </w:r>
            <w:r>
              <w:rPr>
                <w:sz w:val="20"/>
              </w:rPr>
              <w:t>nodo central y </w:t>
            </w:r>
            <w:r>
              <w:rPr>
                <w:spacing w:val="-7"/>
                <w:sz w:val="20"/>
              </w:rPr>
              <w:t>al </w:t>
            </w:r>
            <w:r>
              <w:rPr>
                <w:sz w:val="20"/>
              </w:rPr>
              <w:t>menos 3 satélites atendiendo permanentemente la</w:t>
              <w:tab/>
            </w:r>
            <w:r>
              <w:rPr>
                <w:spacing w:val="-3"/>
                <w:sz w:val="20"/>
              </w:rPr>
              <w:t>demanda </w:t>
            </w:r>
            <w:r>
              <w:rPr>
                <w:sz w:val="20"/>
              </w:rPr>
              <w:t>informativa académica de las carreras y demanda productiva  </w:t>
            </w:r>
            <w:r>
              <w:rPr>
                <w:spacing w:val="14"/>
                <w:sz w:val="20"/>
              </w:rPr>
              <w:t> </w:t>
            </w:r>
            <w:r>
              <w:rPr>
                <w:sz w:val="20"/>
              </w:rPr>
              <w:t>de</w:t>
              <w:tab/>
            </w:r>
            <w:r>
              <w:rPr>
                <w:spacing w:val="-8"/>
                <w:sz w:val="20"/>
              </w:rPr>
              <w:t>al </w:t>
            </w:r>
            <w:r>
              <w:rPr>
                <w:sz w:val="20"/>
              </w:rPr>
              <w:t>menos</w:t>
              <w:tab/>
              <w:tab/>
              <w:tab/>
              <w:tab/>
              <w:tab/>
              <w:t>5</w:t>
            </w:r>
          </w:p>
          <w:p>
            <w:pPr>
              <w:pStyle w:val="TableParagraph"/>
              <w:ind w:left="74" w:right="55"/>
              <w:jc w:val="both"/>
              <w:rPr>
                <w:sz w:val="20"/>
              </w:rPr>
            </w:pPr>
            <w:r>
              <w:rPr>
                <w:sz w:val="20"/>
              </w:rPr>
              <w:t>departamentos al 4to trimestre  </w:t>
            </w:r>
            <w:r>
              <w:rPr>
                <w:spacing w:val="-5"/>
                <w:sz w:val="20"/>
              </w:rPr>
              <w:t>del </w:t>
            </w:r>
            <w:r>
              <w:rPr>
                <w:sz w:val="20"/>
              </w:rPr>
              <w:t>3er</w:t>
            </w:r>
            <w:r>
              <w:rPr>
                <w:spacing w:val="-1"/>
                <w:sz w:val="20"/>
              </w:rPr>
              <w:t> </w:t>
            </w:r>
            <w:r>
              <w:rPr>
                <w:sz w:val="20"/>
              </w:rPr>
              <w:t>año</w:t>
            </w:r>
          </w:p>
        </w:tc>
        <w:tc>
          <w:tcPr>
            <w:tcW w:w="1735" w:type="dxa"/>
            <w:shd w:val="clear" w:color="auto" w:fill="E1EEDA"/>
          </w:tcPr>
          <w:p>
            <w:pPr>
              <w:pStyle w:val="TableParagraph"/>
              <w:tabs>
                <w:tab w:pos="1112" w:val="left" w:leader="none"/>
                <w:tab w:pos="1419" w:val="left" w:leader="none"/>
              </w:tabs>
              <w:ind w:left="75" w:right="54"/>
              <w:rPr>
                <w:sz w:val="20"/>
              </w:rPr>
            </w:pPr>
            <w:r>
              <w:rPr>
                <w:sz w:val="20"/>
              </w:rPr>
              <w:t>13.</w:t>
              <w:tab/>
            </w:r>
            <w:r>
              <w:rPr>
                <w:spacing w:val="-4"/>
                <w:sz w:val="20"/>
              </w:rPr>
              <w:t>Diseño </w:t>
            </w:r>
            <w:r>
              <w:rPr>
                <w:sz w:val="20"/>
              </w:rPr>
              <w:t>comunitario</w:t>
              <w:tab/>
              <w:tab/>
            </w:r>
            <w:r>
              <w:rPr>
                <w:spacing w:val="-7"/>
                <w:sz w:val="20"/>
              </w:rPr>
              <w:t>del </w:t>
            </w:r>
            <w:r>
              <w:rPr>
                <w:sz w:val="20"/>
              </w:rPr>
              <w:t>Complejo Multimodal</w:t>
            </w:r>
          </w:p>
          <w:p>
            <w:pPr>
              <w:pStyle w:val="TableParagraph"/>
              <w:spacing w:line="225" w:lineRule="exact"/>
              <w:ind w:left="75"/>
              <w:rPr>
                <w:sz w:val="20"/>
              </w:rPr>
            </w:pPr>
            <w:r>
              <w:rPr>
                <w:sz w:val="20"/>
              </w:rPr>
              <w:t>Intercultural.</w:t>
            </w:r>
          </w:p>
        </w:tc>
        <w:tc>
          <w:tcPr>
            <w:tcW w:w="1735" w:type="dxa"/>
            <w:shd w:val="clear" w:color="auto" w:fill="E1EEDA"/>
          </w:tcPr>
          <w:p>
            <w:pPr>
              <w:pStyle w:val="TableParagraph"/>
              <w:tabs>
                <w:tab w:pos="886" w:val="left" w:leader="none"/>
                <w:tab w:pos="1464" w:val="left" w:leader="none"/>
              </w:tabs>
              <w:ind w:left="75" w:right="54"/>
              <w:rPr>
                <w:sz w:val="20"/>
              </w:rPr>
            </w:pPr>
            <w:r>
              <w:rPr>
                <w:sz w:val="20"/>
              </w:rPr>
              <w:t>Diseño</w:t>
              <w:tab/>
            </w:r>
            <w:r>
              <w:rPr>
                <w:spacing w:val="-1"/>
                <w:sz w:val="20"/>
              </w:rPr>
              <w:t>territorial </w:t>
            </w:r>
            <w:r>
              <w:rPr>
                <w:sz w:val="20"/>
              </w:rPr>
              <w:t>Comunitario</w:t>
              <w:tab/>
            </w:r>
            <w:r>
              <w:rPr>
                <w:spacing w:val="-9"/>
                <w:sz w:val="20"/>
              </w:rPr>
              <w:t>en </w:t>
            </w:r>
            <w:r>
              <w:rPr>
                <w:sz w:val="20"/>
              </w:rPr>
              <w:t>talleres participativos</w:t>
            </w:r>
          </w:p>
        </w:tc>
        <w:tc>
          <w:tcPr>
            <w:tcW w:w="2552" w:type="dxa"/>
            <w:shd w:val="clear" w:color="auto" w:fill="E1EEDA"/>
          </w:tcPr>
          <w:p>
            <w:pPr>
              <w:pStyle w:val="TableParagraph"/>
              <w:tabs>
                <w:tab w:pos="2279" w:val="left" w:leader="none"/>
              </w:tabs>
              <w:ind w:left="76" w:right="56"/>
              <w:jc w:val="both"/>
              <w:rPr>
                <w:sz w:val="20"/>
              </w:rPr>
            </w:pPr>
            <w:r>
              <w:rPr>
                <w:sz w:val="20"/>
              </w:rPr>
              <w:t>Documento de diseño metodológico,</w:t>
              <w:tab/>
            </w:r>
            <w:r>
              <w:rPr>
                <w:spacing w:val="-9"/>
                <w:sz w:val="20"/>
              </w:rPr>
              <w:t>de </w:t>
            </w:r>
            <w:r>
              <w:rPr>
                <w:sz w:val="20"/>
              </w:rPr>
              <w:t>funcionamiento y logístico aprobado.</w:t>
            </w:r>
          </w:p>
        </w:tc>
      </w:tr>
      <w:tr>
        <w:trPr>
          <w:trHeight w:val="1257" w:hRule="atLeast"/>
        </w:trPr>
        <w:tc>
          <w:tcPr>
            <w:tcW w:w="1982" w:type="dxa"/>
            <w:vMerge/>
            <w:tcBorders>
              <w:top w:val="nil"/>
              <w:left w:val="single" w:sz="8" w:space="0" w:color="000000"/>
            </w:tcBorders>
            <w:shd w:val="clear" w:color="auto" w:fill="E1EEDA"/>
          </w:tcPr>
          <w:p>
            <w:pPr>
              <w:rPr>
                <w:sz w:val="2"/>
                <w:szCs w:val="2"/>
              </w:rPr>
            </w:pPr>
          </w:p>
        </w:tc>
        <w:tc>
          <w:tcPr>
            <w:tcW w:w="1819" w:type="dxa"/>
            <w:vMerge/>
            <w:tcBorders>
              <w:top w:val="nil"/>
            </w:tcBorders>
            <w:shd w:val="clear" w:color="auto" w:fill="E1EEDA"/>
          </w:tcPr>
          <w:p>
            <w:pPr>
              <w:rPr>
                <w:sz w:val="2"/>
                <w:szCs w:val="2"/>
              </w:rPr>
            </w:pPr>
          </w:p>
        </w:tc>
        <w:tc>
          <w:tcPr>
            <w:tcW w:w="1735" w:type="dxa"/>
            <w:shd w:val="clear" w:color="auto" w:fill="E1EEDA"/>
          </w:tcPr>
          <w:p>
            <w:pPr>
              <w:pStyle w:val="TableParagraph"/>
              <w:tabs>
                <w:tab w:pos="1466" w:val="left" w:leader="none"/>
              </w:tabs>
              <w:ind w:left="75" w:right="51"/>
              <w:jc w:val="both"/>
              <w:rPr>
                <w:sz w:val="20"/>
              </w:rPr>
            </w:pPr>
            <w:r>
              <w:rPr>
                <w:sz w:val="20"/>
              </w:rPr>
              <w:t>14. Construcción y adaptación</w:t>
              <w:tab/>
            </w:r>
            <w:r>
              <w:rPr>
                <w:spacing w:val="-8"/>
                <w:sz w:val="20"/>
              </w:rPr>
              <w:t>de </w:t>
            </w:r>
            <w:r>
              <w:rPr>
                <w:sz w:val="20"/>
              </w:rPr>
              <w:t>infraestructuras y equipamiento.</w:t>
            </w:r>
          </w:p>
        </w:tc>
        <w:tc>
          <w:tcPr>
            <w:tcW w:w="1735" w:type="dxa"/>
            <w:shd w:val="clear" w:color="auto" w:fill="E1EEDA"/>
          </w:tcPr>
          <w:p>
            <w:pPr>
              <w:pStyle w:val="TableParagraph"/>
              <w:tabs>
                <w:tab w:pos="1301" w:val="left" w:leader="none"/>
              </w:tabs>
              <w:ind w:left="75" w:right="53"/>
              <w:jc w:val="both"/>
              <w:rPr>
                <w:sz w:val="20"/>
              </w:rPr>
            </w:pPr>
            <w:r>
              <w:rPr>
                <w:sz w:val="20"/>
              </w:rPr>
              <w:t>Adecuación </w:t>
            </w:r>
            <w:r>
              <w:rPr>
                <w:spacing w:val="-7"/>
                <w:sz w:val="20"/>
              </w:rPr>
              <w:t>de </w:t>
            </w:r>
            <w:r>
              <w:rPr>
                <w:sz w:val="20"/>
              </w:rPr>
              <w:t>infraestructuras </w:t>
            </w:r>
            <w:r>
              <w:rPr>
                <w:spacing w:val="-11"/>
                <w:sz w:val="20"/>
              </w:rPr>
              <w:t>y </w:t>
            </w:r>
            <w:r>
              <w:rPr>
                <w:sz w:val="20"/>
              </w:rPr>
              <w:t>equipamiento </w:t>
            </w:r>
            <w:r>
              <w:rPr>
                <w:spacing w:val="-5"/>
                <w:sz w:val="20"/>
              </w:rPr>
              <w:t>de </w:t>
            </w:r>
            <w:r>
              <w:rPr>
                <w:sz w:val="20"/>
              </w:rPr>
              <w:t>soportes</w:t>
              <w:tab/>
            </w:r>
            <w:r>
              <w:rPr>
                <w:spacing w:val="-4"/>
                <w:sz w:val="20"/>
              </w:rPr>
              <w:t>para </w:t>
            </w:r>
            <w:r>
              <w:rPr>
                <w:sz w:val="20"/>
              </w:rPr>
              <w:t>datos</w:t>
            </w:r>
          </w:p>
        </w:tc>
        <w:tc>
          <w:tcPr>
            <w:tcW w:w="2552" w:type="dxa"/>
            <w:shd w:val="clear" w:color="auto" w:fill="E1EEDA"/>
          </w:tcPr>
          <w:p>
            <w:pPr>
              <w:pStyle w:val="TableParagraph"/>
              <w:ind w:left="76" w:right="55"/>
              <w:jc w:val="both"/>
              <w:rPr>
                <w:sz w:val="20"/>
              </w:rPr>
            </w:pPr>
            <w:r>
              <w:rPr>
                <w:sz w:val="20"/>
              </w:rPr>
              <w:t>Documentos de  inventario de adquisición de bienes y servicios</w:t>
            </w:r>
            <w:r>
              <w:rPr>
                <w:spacing w:val="42"/>
                <w:sz w:val="20"/>
              </w:rPr>
              <w:t> </w:t>
            </w:r>
            <w:r>
              <w:rPr>
                <w:sz w:val="20"/>
              </w:rPr>
              <w:t>ejecutados.</w:t>
            </w:r>
          </w:p>
        </w:tc>
      </w:tr>
      <w:tr>
        <w:trPr>
          <w:trHeight w:val="1972" w:hRule="atLeast"/>
        </w:trPr>
        <w:tc>
          <w:tcPr>
            <w:tcW w:w="1982" w:type="dxa"/>
            <w:vMerge/>
            <w:tcBorders>
              <w:top w:val="nil"/>
              <w:left w:val="single" w:sz="8" w:space="0" w:color="000000"/>
            </w:tcBorders>
            <w:shd w:val="clear" w:color="auto" w:fill="E1EEDA"/>
          </w:tcPr>
          <w:p>
            <w:pPr>
              <w:rPr>
                <w:sz w:val="2"/>
                <w:szCs w:val="2"/>
              </w:rPr>
            </w:pPr>
          </w:p>
        </w:tc>
        <w:tc>
          <w:tcPr>
            <w:tcW w:w="1819" w:type="dxa"/>
            <w:vMerge/>
            <w:tcBorders>
              <w:top w:val="nil"/>
            </w:tcBorders>
            <w:shd w:val="clear" w:color="auto" w:fill="E1EEDA"/>
          </w:tcPr>
          <w:p>
            <w:pPr>
              <w:rPr>
                <w:sz w:val="2"/>
                <w:szCs w:val="2"/>
              </w:rPr>
            </w:pPr>
          </w:p>
        </w:tc>
        <w:tc>
          <w:tcPr>
            <w:tcW w:w="1735" w:type="dxa"/>
            <w:shd w:val="clear" w:color="auto" w:fill="E1EEDA"/>
          </w:tcPr>
          <w:p>
            <w:pPr>
              <w:pStyle w:val="TableParagraph"/>
              <w:tabs>
                <w:tab w:pos="724" w:val="left" w:leader="none"/>
                <w:tab w:pos="812" w:val="left" w:leader="none"/>
                <w:tab w:pos="1464" w:val="left" w:leader="none"/>
              </w:tabs>
              <w:spacing w:before="1"/>
              <w:ind w:left="75" w:right="54"/>
              <w:rPr>
                <w:sz w:val="20"/>
              </w:rPr>
            </w:pPr>
            <w:r>
              <w:rPr>
                <w:sz w:val="20"/>
              </w:rPr>
              <w:t>15. Constitución y Generación de </w:t>
            </w:r>
            <w:r>
              <w:rPr>
                <w:spacing w:val="-7"/>
                <w:sz w:val="20"/>
              </w:rPr>
              <w:t>la </w:t>
            </w:r>
            <w:r>
              <w:rPr>
                <w:sz w:val="20"/>
              </w:rPr>
              <w:t>base</w:t>
              <w:tab/>
            </w:r>
            <w:r>
              <w:rPr>
                <w:w w:val="95"/>
                <w:sz w:val="20"/>
              </w:rPr>
              <w:t>informativa </w:t>
            </w:r>
            <w:r>
              <w:rPr>
                <w:sz w:val="20"/>
              </w:rPr>
              <w:t>multimodal (bibliográfica, física,</w:t>
              <w:tab/>
              <w:tab/>
              <w:t>base</w:t>
              <w:tab/>
            </w:r>
            <w:r>
              <w:rPr>
                <w:spacing w:val="-9"/>
                <w:sz w:val="20"/>
              </w:rPr>
              <w:t>de </w:t>
            </w:r>
            <w:r>
              <w:rPr>
                <w:sz w:val="20"/>
              </w:rPr>
              <w:t>datos y</w:t>
            </w:r>
            <w:r>
              <w:rPr>
                <w:spacing w:val="-2"/>
                <w:sz w:val="20"/>
              </w:rPr>
              <w:t> </w:t>
            </w:r>
            <w:r>
              <w:rPr>
                <w:sz w:val="20"/>
              </w:rPr>
              <w:t>otros)</w:t>
            </w:r>
          </w:p>
        </w:tc>
        <w:tc>
          <w:tcPr>
            <w:tcW w:w="1735" w:type="dxa"/>
            <w:shd w:val="clear" w:color="auto" w:fill="E1EEDA"/>
          </w:tcPr>
          <w:p>
            <w:pPr>
              <w:pStyle w:val="TableParagraph"/>
              <w:tabs>
                <w:tab w:pos="1577" w:val="left" w:leader="none"/>
              </w:tabs>
              <w:spacing w:line="243" w:lineRule="exact" w:before="1"/>
              <w:ind w:left="75"/>
              <w:rPr>
                <w:sz w:val="20"/>
              </w:rPr>
            </w:pPr>
            <w:r>
              <w:rPr>
                <w:sz w:val="20"/>
              </w:rPr>
              <w:t>Colecta</w:t>
              <w:tab/>
              <w:t>y</w:t>
            </w:r>
          </w:p>
          <w:p>
            <w:pPr>
              <w:pStyle w:val="TableParagraph"/>
              <w:tabs>
                <w:tab w:pos="1292" w:val="left" w:leader="none"/>
              </w:tabs>
              <w:ind w:left="75" w:right="52"/>
              <w:rPr>
                <w:sz w:val="20"/>
              </w:rPr>
            </w:pPr>
            <w:r>
              <w:rPr>
                <w:sz w:val="20"/>
              </w:rPr>
              <w:t>almacenamiento de</w:t>
              <w:tab/>
            </w:r>
            <w:r>
              <w:rPr>
                <w:spacing w:val="-5"/>
                <w:sz w:val="20"/>
              </w:rPr>
              <w:t>base</w:t>
            </w:r>
          </w:p>
          <w:p>
            <w:pPr>
              <w:pStyle w:val="TableParagraph"/>
              <w:spacing w:before="1"/>
              <w:ind w:left="75" w:right="694"/>
              <w:rPr>
                <w:sz w:val="20"/>
              </w:rPr>
            </w:pPr>
            <w:r>
              <w:rPr>
                <w:w w:val="95"/>
                <w:sz w:val="20"/>
              </w:rPr>
              <w:t>informativa </w:t>
            </w:r>
            <w:r>
              <w:rPr>
                <w:sz w:val="20"/>
              </w:rPr>
              <w:t>multimodal</w:t>
            </w:r>
          </w:p>
        </w:tc>
        <w:tc>
          <w:tcPr>
            <w:tcW w:w="2552" w:type="dxa"/>
            <w:shd w:val="clear" w:color="auto" w:fill="E1EEDA"/>
          </w:tcPr>
          <w:p>
            <w:pPr>
              <w:pStyle w:val="TableParagraph"/>
              <w:spacing w:before="1"/>
              <w:ind w:left="76" w:right="55"/>
              <w:jc w:val="both"/>
              <w:rPr>
                <w:sz w:val="20"/>
              </w:rPr>
            </w:pPr>
            <w:r>
              <w:rPr>
                <w:sz w:val="20"/>
              </w:rPr>
              <w:t>Inventario de al menos 2000 entradas/año ( bibliográfica, audiovisual, base de datos digitalizada, fitogenética, artefactos culturales)</w:t>
            </w:r>
          </w:p>
        </w:tc>
      </w:tr>
      <w:tr>
        <w:trPr>
          <w:trHeight w:val="2255" w:hRule="atLeast"/>
        </w:trPr>
        <w:tc>
          <w:tcPr>
            <w:tcW w:w="1982" w:type="dxa"/>
            <w:vMerge/>
            <w:tcBorders>
              <w:top w:val="nil"/>
              <w:left w:val="single" w:sz="8" w:space="0" w:color="000000"/>
            </w:tcBorders>
            <w:shd w:val="clear" w:color="auto" w:fill="E1EEDA"/>
          </w:tcPr>
          <w:p>
            <w:pPr>
              <w:rPr>
                <w:sz w:val="2"/>
                <w:szCs w:val="2"/>
              </w:rPr>
            </w:pPr>
          </w:p>
        </w:tc>
        <w:tc>
          <w:tcPr>
            <w:tcW w:w="1819" w:type="dxa"/>
            <w:vMerge/>
            <w:tcBorders>
              <w:top w:val="nil"/>
            </w:tcBorders>
            <w:shd w:val="clear" w:color="auto" w:fill="E1EEDA"/>
          </w:tcPr>
          <w:p>
            <w:pPr>
              <w:rPr>
                <w:sz w:val="2"/>
                <w:szCs w:val="2"/>
              </w:rPr>
            </w:pPr>
          </w:p>
        </w:tc>
        <w:tc>
          <w:tcPr>
            <w:tcW w:w="1735" w:type="dxa"/>
            <w:shd w:val="clear" w:color="auto" w:fill="E1EEDA"/>
          </w:tcPr>
          <w:p>
            <w:pPr>
              <w:pStyle w:val="TableParagraph"/>
              <w:tabs>
                <w:tab w:pos="1579" w:val="left" w:leader="none"/>
              </w:tabs>
              <w:ind w:left="75" w:right="53"/>
              <w:rPr>
                <w:sz w:val="20"/>
              </w:rPr>
            </w:pPr>
            <w:r>
              <w:rPr>
                <w:sz w:val="20"/>
              </w:rPr>
              <w:t>16. Circulación </w:t>
            </w:r>
            <w:r>
              <w:rPr>
                <w:spacing w:val="-7"/>
                <w:sz w:val="20"/>
              </w:rPr>
              <w:t>de </w:t>
            </w:r>
            <w:r>
              <w:rPr>
                <w:sz w:val="20"/>
              </w:rPr>
              <w:t>información producidas</w:t>
              <w:tab/>
            </w:r>
            <w:r>
              <w:rPr>
                <w:spacing w:val="-18"/>
                <w:sz w:val="20"/>
              </w:rPr>
              <w:t>y</w:t>
            </w:r>
          </w:p>
          <w:p>
            <w:pPr>
              <w:pStyle w:val="TableParagraph"/>
              <w:tabs>
                <w:tab w:pos="902" w:val="left" w:leader="none"/>
                <w:tab w:pos="1464" w:val="left" w:leader="none"/>
              </w:tabs>
              <w:ind w:left="75" w:right="53"/>
              <w:rPr>
                <w:sz w:val="20"/>
              </w:rPr>
            </w:pPr>
            <w:r>
              <w:rPr>
                <w:sz w:val="20"/>
              </w:rPr>
              <w:t>colectadas</w:t>
              <w:tab/>
            </w:r>
            <w:r>
              <w:rPr>
                <w:spacing w:val="-9"/>
                <w:sz w:val="20"/>
              </w:rPr>
              <w:t>en </w:t>
            </w:r>
            <w:r>
              <w:rPr>
                <w:sz w:val="20"/>
              </w:rPr>
              <w:t>soportes bibliográfico, digital y aplicado según</w:t>
              <w:tab/>
            </w:r>
            <w:r>
              <w:rPr>
                <w:spacing w:val="-3"/>
                <w:sz w:val="20"/>
              </w:rPr>
              <w:t>demanda </w:t>
            </w:r>
            <w:r>
              <w:rPr>
                <w:sz w:val="20"/>
              </w:rPr>
              <w:t>construida.</w:t>
            </w:r>
          </w:p>
        </w:tc>
        <w:tc>
          <w:tcPr>
            <w:tcW w:w="1735" w:type="dxa"/>
            <w:shd w:val="clear" w:color="auto" w:fill="E1EEDA"/>
          </w:tcPr>
          <w:p>
            <w:pPr>
              <w:pStyle w:val="TableParagraph"/>
              <w:tabs>
                <w:tab w:pos="1030" w:val="left" w:leader="none"/>
              </w:tabs>
              <w:ind w:left="75" w:right="53"/>
              <w:jc w:val="both"/>
              <w:rPr>
                <w:sz w:val="20"/>
              </w:rPr>
            </w:pPr>
            <w:r>
              <w:rPr>
                <w:sz w:val="20"/>
              </w:rPr>
              <w:t>Diseño y aplicación de</w:t>
              <w:tab/>
            </w:r>
            <w:r>
              <w:rPr>
                <w:spacing w:val="-3"/>
                <w:sz w:val="20"/>
              </w:rPr>
              <w:t>Sistema </w:t>
            </w:r>
            <w:r>
              <w:rPr>
                <w:sz w:val="20"/>
              </w:rPr>
              <w:t>multimedia         </w:t>
            </w:r>
            <w:r>
              <w:rPr>
                <w:spacing w:val="4"/>
                <w:sz w:val="20"/>
              </w:rPr>
              <w:t> </w:t>
            </w:r>
            <w:r>
              <w:rPr>
                <w:spacing w:val="-7"/>
                <w:sz w:val="20"/>
              </w:rPr>
              <w:t>de</w:t>
            </w:r>
          </w:p>
          <w:p>
            <w:pPr>
              <w:pStyle w:val="TableParagraph"/>
              <w:tabs>
                <w:tab w:pos="1465" w:val="left" w:leader="none"/>
              </w:tabs>
              <w:ind w:left="75"/>
              <w:jc w:val="both"/>
              <w:rPr>
                <w:sz w:val="20"/>
              </w:rPr>
            </w:pPr>
            <w:r>
              <w:rPr>
                <w:sz w:val="20"/>
              </w:rPr>
              <w:t>circulación</w:t>
              <w:tab/>
              <w:t>de</w:t>
            </w:r>
          </w:p>
          <w:p>
            <w:pPr>
              <w:pStyle w:val="TableParagraph"/>
              <w:ind w:left="75" w:right="54"/>
              <w:jc w:val="both"/>
              <w:rPr>
                <w:sz w:val="20"/>
              </w:rPr>
            </w:pPr>
            <w:r>
              <w:rPr>
                <w:sz w:val="20"/>
              </w:rPr>
              <w:t>información </w:t>
            </w:r>
            <w:r>
              <w:rPr>
                <w:spacing w:val="-8"/>
                <w:sz w:val="20"/>
              </w:rPr>
              <w:t>ex </w:t>
            </w:r>
            <w:r>
              <w:rPr>
                <w:sz w:val="20"/>
              </w:rPr>
              <w:t>ante y </w:t>
            </w:r>
            <w:r>
              <w:rPr>
                <w:spacing w:val="-3"/>
                <w:sz w:val="20"/>
              </w:rPr>
              <w:t>expost </w:t>
            </w:r>
            <w:r>
              <w:rPr>
                <w:sz w:val="20"/>
              </w:rPr>
              <w:t>campañas</w:t>
            </w:r>
            <w:r>
              <w:rPr>
                <w:spacing w:val="-6"/>
                <w:sz w:val="20"/>
              </w:rPr>
              <w:t> </w:t>
            </w:r>
            <w:r>
              <w:rPr>
                <w:sz w:val="20"/>
              </w:rPr>
              <w:t>agrícolas</w:t>
            </w:r>
          </w:p>
        </w:tc>
        <w:tc>
          <w:tcPr>
            <w:tcW w:w="2552" w:type="dxa"/>
            <w:shd w:val="clear" w:color="auto" w:fill="E1EEDA"/>
          </w:tcPr>
          <w:p>
            <w:pPr>
              <w:pStyle w:val="TableParagraph"/>
              <w:tabs>
                <w:tab w:pos="1030" w:val="left" w:leader="none"/>
                <w:tab w:pos="2280" w:val="left" w:leader="none"/>
              </w:tabs>
              <w:ind w:left="76" w:right="53"/>
              <w:rPr>
                <w:sz w:val="20"/>
              </w:rPr>
            </w:pPr>
            <w:r>
              <w:rPr>
                <w:sz w:val="20"/>
              </w:rPr>
              <w:t>Sistema</w:t>
              <w:tab/>
              <w:t>digitalizado</w:t>
              <w:tab/>
            </w:r>
            <w:r>
              <w:rPr>
                <w:spacing w:val="-8"/>
                <w:sz w:val="20"/>
              </w:rPr>
              <w:t>de </w:t>
            </w:r>
            <w:r>
              <w:rPr>
                <w:sz w:val="20"/>
              </w:rPr>
              <w:t>entrada</w:t>
              <w:tab/>
              <w:tab/>
            </w:r>
            <w:r>
              <w:rPr>
                <w:spacing w:val="-8"/>
                <w:sz w:val="20"/>
              </w:rPr>
              <w:t>de</w:t>
            </w:r>
          </w:p>
          <w:p>
            <w:pPr>
              <w:pStyle w:val="TableParagraph"/>
              <w:tabs>
                <w:tab w:pos="1192" w:val="left" w:leader="none"/>
                <w:tab w:pos="1619" w:val="left" w:leader="none"/>
              </w:tabs>
              <w:ind w:left="76" w:right="56"/>
              <w:rPr>
                <w:sz w:val="20"/>
              </w:rPr>
            </w:pPr>
            <w:r>
              <w:rPr>
                <w:sz w:val="20"/>
              </w:rPr>
              <w:t>demanda/respuesta territorial</w:t>
              <w:tab/>
              <w:t>y</w:t>
              <w:tab/>
            </w:r>
            <w:r>
              <w:rPr>
                <w:spacing w:val="-3"/>
                <w:sz w:val="20"/>
              </w:rPr>
              <w:t>académica </w:t>
            </w:r>
            <w:r>
              <w:rPr>
                <w:sz w:val="20"/>
              </w:rPr>
              <w:t>funcionando en tiempo real con al menos 100 solicitudes IOCs</w:t>
            </w:r>
          </w:p>
        </w:tc>
      </w:tr>
    </w:tbl>
    <w:p>
      <w:pPr>
        <w:pStyle w:val="BodyText"/>
        <w:rPr>
          <w:rFonts w:ascii="Calibri"/>
          <w:b/>
          <w:sz w:val="20"/>
        </w:rPr>
      </w:pPr>
    </w:p>
    <w:p>
      <w:pPr>
        <w:pStyle w:val="BodyText"/>
        <w:spacing w:before="2"/>
        <w:rPr>
          <w:rFonts w:ascii="Calibri"/>
          <w:b/>
          <w:sz w:val="19"/>
        </w:rPr>
      </w:pPr>
    </w:p>
    <w:p>
      <w:pPr>
        <w:pStyle w:val="BodyText"/>
        <w:spacing w:line="276" w:lineRule="auto"/>
        <w:ind w:left="1082" w:right="847"/>
        <w:jc w:val="both"/>
      </w:pPr>
      <w:r>
        <w:rPr/>
        <w:t>, particularmente las referidas a la inversión productiva , la elección del tiempo de las campañas, las zonas de acción, las oportunidades o limitantes para el desarrollo productivo de las mismas y para la generación y diseño de proyectos y programas estratégicos productivos. A su vez el desafío de contar con centros referencia de desarrollo tecnológico vía ciudadelas del conocimiento en el país, puede posicionar  a la UNIBOL quechua como un espacio permanente de generación, almacenamiento, procesamiento y retroalimentación de saberes y conocimientos desde la perspectiva de su propia episteme que la caracterice como </w:t>
      </w:r>
      <w:r>
        <w:rPr>
          <w:spacing w:val="5"/>
        </w:rPr>
        <w:t>en </w:t>
      </w:r>
      <w:r>
        <w:rPr/>
        <w:t>otras convencionales, haciéndola un centro de referencia para el conjunto plurinacional de Bolivia e</w:t>
      </w:r>
      <w:r>
        <w:rPr>
          <w:spacing w:val="-1"/>
        </w:rPr>
        <w:t> </w:t>
      </w:r>
      <w:r>
        <w:rPr/>
        <w:t>internacional.</w:t>
      </w:r>
    </w:p>
    <w:p>
      <w:pPr>
        <w:pStyle w:val="BodyText"/>
        <w:spacing w:line="276" w:lineRule="auto" w:before="201"/>
        <w:ind w:left="1082" w:right="848"/>
        <w:jc w:val="both"/>
      </w:pPr>
      <w:r>
        <w:rPr/>
        <w:t>Al presente no contando el país con un centro interdisciplinario de generación/colecta  de información se prevé actuar en la   consolidación inmediata de un servicio de un complejo de actualización, formación y datos multimodal e intercultural del saber y situación andino amazónico que alimente a la toma de decisiones productivas en la territorialidad de la nación quechua y la generación de</w:t>
      </w:r>
    </w:p>
    <w:p>
      <w:pPr>
        <w:spacing w:after="0" w:line="276" w:lineRule="auto"/>
        <w:jc w:val="both"/>
        <w:sectPr>
          <w:pgSz w:w="11910" w:h="16840"/>
          <w:pgMar w:header="0" w:footer="922" w:top="1580" w:bottom="1200" w:left="620" w:right="280"/>
        </w:sectPr>
      </w:pPr>
    </w:p>
    <w:p>
      <w:pPr>
        <w:pStyle w:val="BodyText"/>
        <w:spacing w:line="276" w:lineRule="auto" w:before="76"/>
        <w:ind w:left="1082" w:right="853"/>
        <w:jc w:val="both"/>
      </w:pPr>
      <w:r>
        <w:rPr/>
        <w:t>tecnologías en la Yachayllajta UNIBOL, posicionada plenamente en  este quinquenio, constituyendo para este propósito un Complejo con 1 nodo central en Chimore y al menos 3 satélites o plataformas en tres territorialidades , que estén atendiendo permanentemente la demanda informativa académica de las carreras y demanda productiva de al menos 5 departamentos donde  tiene  presencia  la Nación Quechua, ya plenamente al tercer año de este PEI. Los pasos que permitan contar con este importante referente que posicione a la UNIBOL como un tácito centro del saber y el conocimiento,</w:t>
      </w:r>
      <w:r>
        <w:rPr>
          <w:spacing w:val="-6"/>
        </w:rPr>
        <w:t> </w:t>
      </w:r>
      <w:r>
        <w:rPr/>
        <w:t>serán:</w:t>
      </w:r>
    </w:p>
    <w:p>
      <w:pPr>
        <w:pStyle w:val="BodyText"/>
        <w:spacing w:line="276" w:lineRule="auto" w:before="202"/>
        <w:ind w:left="1082" w:right="846"/>
        <w:jc w:val="both"/>
      </w:pPr>
      <w:r>
        <w:rPr/>
        <w:t>El Diseño comunitario del Complejo Multimodal Intercultural será realizado por una parte por especialistas que adecuen todo el actual edificio de la biblioteca y el telecentro ya que de hecho constituyen ya las bases de  esa  concepción  multimodal, estos especialistas y personeros de la UNIBOL  diseñaran  el sistema  de construcción de su línea de base informativa sobre todo aquello que esté vinculada a la producción agrosilvopecuaria y su almacenamiento, procesamiento y acceso a los datos que se almacenen como a la construcción y disponibilidad de información en base a aquellos, particularmente la que requiera o se genere en el ámbito de las territorialidades donde está presente la Nación quechua y la plurinacionalidad que se construye. En esta fase se dimensionará la capacidad de almacenamiento que pueda tener el nodo central del sistema en sus diversas  formas de almacenamiento informativo y de procesamiento de la</w:t>
      </w:r>
      <w:r>
        <w:rPr>
          <w:spacing w:val="-13"/>
        </w:rPr>
        <w:t> </w:t>
      </w:r>
      <w:r>
        <w:rPr/>
        <w:t>misma.</w:t>
      </w:r>
    </w:p>
    <w:p>
      <w:pPr>
        <w:pStyle w:val="BodyText"/>
        <w:spacing w:line="276" w:lineRule="auto" w:before="200"/>
        <w:ind w:left="1082" w:right="846"/>
        <w:jc w:val="both"/>
      </w:pPr>
      <w:r>
        <w:rPr/>
        <w:t>Este centro multimodal deberá ser una muestra del encuentro de saberes y conocimientos particularmente de lo referido a la nación quechua y a la vez a la interculturalidad existente, siendo que además de la especialización que  es  el centro de su interés, será a la vez un espacio transdisciplinario de almacenamiento  y acceso a datos, de forma que en el manejo multivarial se pueda contar con información  que respalde las decisiones de investigación aplicada,  la generación  de servicios de asesoramiento al desarrollo, asistencia a la producción, etc. Por ejemplo, este Centro podrá facilitar asesoramiento informativo del comportamiento climático y la sugerencia de calendarios de siembra a productores de zonas de transición andino chaqueñas que tienen alto riesgo de sequias , así como alternativas de resilencia en un contexto de cambio climático, o, información de la capacidad de aprovisionamiento de materia prima que las regiones productoras de cítricos en el trópico cochabambino puedan generar para que la planta procesadora de cítricos comprometa ventas a futuro de conservas de ese producto o en casos más específico de investigación aplicada de pregrado o tesis </w:t>
      </w:r>
      <w:r>
        <w:rPr>
          <w:spacing w:val="2"/>
        </w:rPr>
        <w:t>que </w:t>
      </w:r>
      <w:r>
        <w:rPr/>
        <w:t>requiera saber el estado del arte en cuanto a investigaciones referidas al sistema de abonamiento en base al uso del fuego en comunidades de alta montaña del norte potosino llamado k`olacha, entre</w:t>
      </w:r>
      <w:r>
        <w:rPr>
          <w:spacing w:val="-5"/>
        </w:rPr>
        <w:t> </w:t>
      </w:r>
      <w:r>
        <w:rPr/>
        <w:t>otros.</w:t>
      </w:r>
    </w:p>
    <w:p>
      <w:pPr>
        <w:pStyle w:val="BodyText"/>
        <w:spacing w:line="276" w:lineRule="auto" w:before="199"/>
        <w:ind w:left="1082" w:right="854"/>
        <w:jc w:val="both"/>
      </w:pPr>
      <w:r>
        <w:rPr/>
        <w:t>Esta capacidad instalada será diseñada en su magnitud también en el establecimiento de otras terminales  de diseminación como de alimentación de  datos y de información en las distintas territorialidades del ámbito quechua, así  como es desde ellas que se priorizaran las variables y ejes</w:t>
      </w:r>
      <w:r>
        <w:rPr>
          <w:spacing w:val="-6"/>
        </w:rPr>
        <w:t> </w:t>
      </w:r>
      <w:r>
        <w:rPr/>
        <w:t>de información que</w:t>
      </w:r>
    </w:p>
    <w:p>
      <w:pPr>
        <w:spacing w:after="0" w:line="276" w:lineRule="auto"/>
        <w:jc w:val="both"/>
        <w:sectPr>
          <w:pgSz w:w="11910" w:h="16840"/>
          <w:pgMar w:header="0" w:footer="922" w:top="1320" w:bottom="1200" w:left="620" w:right="280"/>
        </w:sectPr>
      </w:pPr>
    </w:p>
    <w:p>
      <w:pPr>
        <w:pStyle w:val="BodyText"/>
        <w:tabs>
          <w:tab w:pos="3492" w:val="left" w:leader="none"/>
        </w:tabs>
        <w:spacing w:line="276" w:lineRule="auto" w:before="76"/>
        <w:ind w:left="1082" w:right="847"/>
        <w:jc w:val="both"/>
      </w:pPr>
      <w:r>
        <w:rPr/>
        <w:t>sean de interés para el desarrollo y la construcción de la capacidad de generación de excedentes productivos y configuración de disponibilidad alimentaría como de reducción de la pobreza en dichos territorios, por lo que aquel trabajo intra institucional de diseño, deberá ser sincronizado con un Diseño  territorial Comunitario en talleres participativos en las distintas territorialidades que hayan sido priorizadas y con énfasis en las producciones que en cada uno de estos se haya señalado para el plan y programa diseñados en la primera línea de acción, sin que la misma sea restrictiva sino base del aporte de la academia al desarrollo. Este diseño territorial permitirá a la vez identificar dos tipos de terminales tanto de almacenamiento y de entrada de datos como de recepción y difusión, cumpliendo  así los principios de complementariedad y reciprocidad base de la circulación de saberes y tecnologías en todo Los Andes: esto es el rescate y re dinamización de centros tecnológicos tradicionales , como por ejemplo los llapachus (observadores de bioind¡dicadores climáticos alto andinos) en Oruro, como tener sinergias con por ejemplo el Centro de referencia en conservación exsitu de la papa de Toralapa en Cochabamba, en una visión que más allá del dato cuantificable como base de la información binaria, pueda a su vez en una concepción polivalente, generará sinergia entre los códigos tecnológicos de la nación quechua e IOCs, con los convencionales de la lógica científica occidental . Este diseño con esta  doble entrada intra e inter institucional, se reflejará en documentos que gradualmente permitan guiar la implementación y el perfeccionamiento constante de los diseños de infraestructura y de los sistemas de colecta y almacenamiento, como de los soportes en los cuales se reúna esta información. Así mismo además de este diseño de infraestructuras y soportes, de cara a su prestación de servicios, deberá contar con un</w:t>
        <w:tab/>
        <w:t>Documento de diseño metodológico del funcionamiento aprobado de forma que en sinergia con las líneas investigativas de las carreras y el postgrado, genere un cuerpo de administradores de este  centro  multimodal  , siendo verdaderos quipucamayus del siglo</w:t>
      </w:r>
      <w:r>
        <w:rPr>
          <w:spacing w:val="-4"/>
        </w:rPr>
        <w:t> </w:t>
      </w:r>
      <w:r>
        <w:rPr/>
        <w:t>XXI.</w:t>
      </w:r>
    </w:p>
    <w:p>
      <w:pPr>
        <w:pStyle w:val="BodyText"/>
        <w:spacing w:line="276" w:lineRule="auto" w:before="201"/>
        <w:ind w:left="1082" w:right="851"/>
        <w:jc w:val="both"/>
      </w:pPr>
      <w:r>
        <w:rPr/>
        <w:t>Sujeto al calendario propuesto por tanto, se realizará la construcción y adaptación  de infraestructuras y equipamiento que implique por una parte la adecuación de infraestructuras y equipamiento de soportes convenientes para el tipo de datos que se tendrán y la adquisición de bienes y servicios acorde con los estándares y capacidad de procesamiento y circulación y acceso acorde a un centro referencial  de nivel país e internacional que se pretende consolidar. Esta adecuación y construcción de infraestructuras como de soportes informativos, deben permitir la admisión, almacenamiento, procesamiento, interacción entre ellas, reciprocidad con otras y circulación oportuna hacia los decisores, en base a entradas informativas  con soportes que van desde artefactos culturales/tecnológicos IOCs tradicionales e innovados, saberes orales, muestras físicas vivas y taxidérmicas, fitogenéticas de diversa índole, bases de datos digitales, documentos históricos patrimoniales, documentos físicos, archivos digitales, registros multimediáticos desde fotos hasta videos, libros, estaciones de colecta de datos en tiempo real, SIG y cartografía, que bajo</w:t>
      </w:r>
      <w:r>
        <w:rPr>
          <w:spacing w:val="5"/>
        </w:rPr>
        <w:t> </w:t>
      </w:r>
      <w:r>
        <w:rPr/>
        <w:t>un</w:t>
      </w:r>
      <w:r>
        <w:rPr>
          <w:spacing w:val="7"/>
        </w:rPr>
        <w:t> </w:t>
      </w:r>
      <w:r>
        <w:rPr/>
        <w:t>esquema</w:t>
      </w:r>
      <w:r>
        <w:rPr>
          <w:spacing w:val="7"/>
        </w:rPr>
        <w:t> </w:t>
      </w:r>
      <w:r>
        <w:rPr/>
        <w:t>físico</w:t>
      </w:r>
      <w:r>
        <w:rPr>
          <w:spacing w:val="9"/>
        </w:rPr>
        <w:t> </w:t>
      </w:r>
      <w:r>
        <w:rPr/>
        <w:t>de</w:t>
      </w:r>
      <w:r>
        <w:rPr>
          <w:spacing w:val="15"/>
        </w:rPr>
        <w:t> </w:t>
      </w:r>
      <w:r>
        <w:rPr/>
        <w:t>la</w:t>
      </w:r>
      <w:r>
        <w:rPr>
          <w:spacing w:val="9"/>
        </w:rPr>
        <w:t> </w:t>
      </w:r>
      <w:r>
        <w:rPr/>
        <w:t>infraestructura</w:t>
      </w:r>
      <w:r>
        <w:rPr>
          <w:spacing w:val="6"/>
        </w:rPr>
        <w:t> </w:t>
      </w:r>
      <w:r>
        <w:rPr/>
        <w:t>fractal</w:t>
      </w:r>
      <w:r>
        <w:rPr>
          <w:spacing w:val="8"/>
        </w:rPr>
        <w:t> </w:t>
      </w:r>
      <w:r>
        <w:rPr/>
        <w:t>y</w:t>
      </w:r>
      <w:r>
        <w:rPr>
          <w:spacing w:val="6"/>
        </w:rPr>
        <w:t> </w:t>
      </w:r>
      <w:r>
        <w:rPr/>
        <w:t>modular</w:t>
      </w:r>
      <w:r>
        <w:rPr>
          <w:spacing w:val="5"/>
        </w:rPr>
        <w:t> </w:t>
      </w:r>
      <w:r>
        <w:rPr/>
        <w:t>de</w:t>
      </w:r>
      <w:r>
        <w:rPr>
          <w:spacing w:val="9"/>
        </w:rPr>
        <w:t> </w:t>
      </w:r>
      <w:r>
        <w:rPr/>
        <w:t>la</w:t>
      </w:r>
      <w:r>
        <w:rPr>
          <w:spacing w:val="9"/>
        </w:rPr>
        <w:t> </w:t>
      </w:r>
      <w:r>
        <w:rPr/>
        <w:t>infraestructura</w:t>
      </w:r>
      <w:r>
        <w:rPr>
          <w:spacing w:val="6"/>
        </w:rPr>
        <w:t> </w:t>
      </w:r>
      <w:r>
        <w:rPr/>
        <w:t>y</w:t>
      </w:r>
    </w:p>
    <w:p>
      <w:pPr>
        <w:spacing w:after="0" w:line="276" w:lineRule="auto"/>
        <w:jc w:val="both"/>
        <w:sectPr>
          <w:pgSz w:w="11910" w:h="16840"/>
          <w:pgMar w:header="0" w:footer="922" w:top="1320" w:bottom="1200" w:left="620" w:right="280"/>
        </w:sectPr>
      </w:pPr>
    </w:p>
    <w:p>
      <w:pPr>
        <w:pStyle w:val="BodyText"/>
        <w:spacing w:line="276" w:lineRule="auto" w:before="76"/>
        <w:ind w:left="1082" w:right="850"/>
        <w:jc w:val="both"/>
      </w:pPr>
      <w:r>
        <w:rPr/>
        <w:t>los soportes, permitan la adición permanente de nuevas entradas y unidades sin afectar la validez del archivo previo ni su inutilización por caducidad, sino su posibilidad de actualización y adaptación, cualidad clave de flexibilidad propio de las tecnologías en las culturas IOCs.</w:t>
      </w:r>
    </w:p>
    <w:p>
      <w:pPr>
        <w:pStyle w:val="BodyText"/>
        <w:spacing w:line="276" w:lineRule="auto" w:before="201"/>
        <w:ind w:left="1082" w:right="849"/>
        <w:jc w:val="both"/>
      </w:pPr>
      <w:r>
        <w:rPr/>
        <w:t>Con estas características, ya desde un primer momento donde las dimensiones del esquema aun sean reducidas, como durante su permanente ampliación, la tarea central de los quipukamayus contemporáneos será la Constitución y Generación de la base informativa multimodal (bibliográfica, física, base de datos y otros) a partir  de una Colecta de nuevas entradas y el almacenamiento de lo ya disponible y de estas nuevas, en una de base informativa multimodal, contabilizándose un  inventario de al menos 2000 entradas/año adicionales a los ya existentes ( bibliográfica, audiovisual, base de datos digitalizada, fitogenética, artefactos culturales). Esta colecta no es pasiva desde el centro solamente, ni su dinamicidad es exclusivamente por red digital si bien esta es una de sus altas prioridades, sino también de permanente colecta en campo e intercultural, desde y con las terminales territoriales</w:t>
      </w:r>
      <w:r>
        <w:rPr>
          <w:spacing w:val="-1"/>
        </w:rPr>
        <w:t> </w:t>
      </w:r>
      <w:r>
        <w:rPr/>
        <w:t>señaladas.</w:t>
      </w:r>
    </w:p>
    <w:p>
      <w:pPr>
        <w:pStyle w:val="BodyText"/>
        <w:spacing w:line="276" w:lineRule="auto" w:before="201"/>
        <w:ind w:left="1082" w:right="846"/>
        <w:jc w:val="both"/>
      </w:pPr>
      <w:r>
        <w:rPr/>
        <w:t>Como se dijo, este acopio no es archivístico, sino aplicado , sinérgico, sistémico, reciproco e intercultural como expresión del dialogo de saberes y de la información como herramienta de poder de decisión estatal y productiva, debiendo permanentemente estar abierta a absolver  consultas y alimentación de información a los proyectos y programas estratégicos del estado y la nación quechua como de los pueblos IOCs, dotándose de un sistema vivido de circulación de información producidas y colectadas en soportes bibliográfico, digital y aplicado según demanda construida, visible en que esté funcionando un diseño y aplicación del sistema multimedia de circulación de información ex ante y expost campañas agrícolas y un sistema digitalizado de entrada de demanda/respuesta territorial y académica funcionando en tiempo real con al menos 100 solicitudes IOCs estratégicas por año, además de su posibilidad de atender la demanda intra institucional cotidiana de los estudiantes y docentes en el mismo centro. Acorde a esta disponibilidad los procesos de investigación aplicada, de respuesta a demanda gubernativa, de OECOMs, Complejos o de formulación de trabajos académicos y de tesis de grado deberán ser diseñados para contribuir a que el estudiante deba realizar sustento multidisciplinario de sus trabajos en el caso de opciones individuales, y trans sectoriales en el caso de ser grupal o intercarreras para el caso del aporte tecnológico que este abordando; sin esta armonización de la demanda del pensum educativo, este sistema intra institucional e interterritorial, sería subutilizada simplemente como cualquier terminal de internet o biblioteca convencional , desvirtuado así su funcionalidad y capacidad instalada para el caso del ámbito académico.</w:t>
      </w:r>
    </w:p>
    <w:p>
      <w:pPr>
        <w:spacing w:after="0" w:line="276" w:lineRule="auto"/>
        <w:jc w:val="both"/>
        <w:sectPr>
          <w:pgSz w:w="11910" w:h="16840"/>
          <w:pgMar w:header="0" w:footer="922" w:top="1320" w:bottom="1200" w:left="620" w:right="280"/>
        </w:sectPr>
      </w:pPr>
    </w:p>
    <w:p>
      <w:pPr>
        <w:pStyle w:val="ListParagraph"/>
        <w:numPr>
          <w:ilvl w:val="3"/>
          <w:numId w:val="51"/>
        </w:numPr>
        <w:tabs>
          <w:tab w:pos="2161" w:val="left" w:leader="none"/>
          <w:tab w:pos="2162" w:val="left" w:leader="none"/>
        </w:tabs>
        <w:spacing w:line="240" w:lineRule="auto" w:before="37" w:after="0"/>
        <w:ind w:left="2162" w:right="0" w:hanging="1080"/>
        <w:jc w:val="left"/>
        <w:rPr>
          <w:rFonts w:ascii="Calibri"/>
          <w:b/>
          <w:sz w:val="20"/>
        </w:rPr>
      </w:pPr>
      <w:r>
        <w:rPr>
          <w:rFonts w:ascii="Calibri"/>
          <w:b/>
          <w:sz w:val="20"/>
        </w:rPr>
        <w:t>DIMENSION</w:t>
      </w:r>
      <w:r>
        <w:rPr>
          <w:rFonts w:ascii="Calibri"/>
          <w:b/>
          <w:spacing w:val="-1"/>
          <w:sz w:val="20"/>
        </w:rPr>
        <w:t> </w:t>
      </w:r>
      <w:r>
        <w:rPr>
          <w:rFonts w:ascii="Calibri"/>
          <w:b/>
          <w:sz w:val="20"/>
        </w:rPr>
        <w:t>ATIY</w:t>
      </w:r>
    </w:p>
    <w:p>
      <w:pPr>
        <w:pStyle w:val="BodyText"/>
        <w:rPr>
          <w:rFonts w:ascii="Calibri"/>
          <w:b/>
          <w:sz w:val="20"/>
        </w:rPr>
      </w:pPr>
    </w:p>
    <w:p>
      <w:pPr>
        <w:pStyle w:val="BodyText"/>
        <w:spacing w:before="5"/>
        <w:rPr>
          <w:rFonts w:ascii="Calibri"/>
          <w:b/>
          <w:sz w:val="16"/>
        </w:rPr>
      </w:pPr>
    </w:p>
    <w:p>
      <w:pPr>
        <w:spacing w:before="0"/>
        <w:ind w:left="1082" w:right="0" w:firstLine="0"/>
        <w:jc w:val="both"/>
        <w:rPr>
          <w:rFonts w:ascii="Calibri"/>
          <w:b/>
          <w:sz w:val="20"/>
        </w:rPr>
      </w:pPr>
      <w:r>
        <w:rPr>
          <w:rFonts w:ascii="Calibri"/>
          <w:b/>
          <w:sz w:val="20"/>
        </w:rPr>
        <w:t>LINEA DE ACCION 5: ESTABLECIMIENTO DE PLAN DE VIDA ESTRATEGICO UNIBOL QUECHUA (KAWSAY)</w:t>
      </w:r>
    </w:p>
    <w:p>
      <w:pPr>
        <w:pStyle w:val="BodyText"/>
        <w:spacing w:before="8"/>
        <w:rPr>
          <w:rFonts w:ascii="Calibri"/>
          <w:b/>
          <w:sz w:val="14"/>
        </w:rPr>
      </w:pPr>
    </w:p>
    <w:tbl>
      <w:tblPr>
        <w:tblW w:w="0" w:type="auto"/>
        <w:jc w:val="left"/>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1863"/>
        <w:gridCol w:w="1848"/>
        <w:gridCol w:w="1342"/>
        <w:gridCol w:w="503"/>
        <w:gridCol w:w="1111"/>
        <w:gridCol w:w="441"/>
      </w:tblGrid>
      <w:tr>
        <w:trPr>
          <w:trHeight w:val="762" w:hRule="atLeast"/>
        </w:trPr>
        <w:tc>
          <w:tcPr>
            <w:tcW w:w="2100" w:type="dxa"/>
            <w:shd w:val="clear" w:color="auto" w:fill="FFFF00"/>
          </w:tcPr>
          <w:p>
            <w:pPr>
              <w:pStyle w:val="TableParagraph"/>
              <w:spacing w:before="1"/>
              <w:ind w:left="503"/>
              <w:rPr>
                <w:b/>
                <w:sz w:val="20"/>
              </w:rPr>
            </w:pPr>
            <w:r>
              <w:rPr>
                <w:b/>
                <w:sz w:val="20"/>
              </w:rPr>
              <w:t>RESULTADOS</w:t>
            </w:r>
          </w:p>
        </w:tc>
        <w:tc>
          <w:tcPr>
            <w:tcW w:w="1863" w:type="dxa"/>
            <w:shd w:val="clear" w:color="auto" w:fill="FFFF00"/>
          </w:tcPr>
          <w:p>
            <w:pPr>
              <w:pStyle w:val="TableParagraph"/>
              <w:spacing w:line="278" w:lineRule="auto"/>
              <w:ind w:left="362" w:right="57" w:firstLine="88"/>
              <w:rPr>
                <w:b/>
                <w:sz w:val="20"/>
              </w:rPr>
            </w:pPr>
            <w:r>
              <w:rPr>
                <w:b/>
                <w:sz w:val="20"/>
              </w:rPr>
              <w:t>INDICADOR </w:t>
            </w:r>
            <w:r>
              <w:rPr>
                <w:b/>
                <w:w w:val="95"/>
                <w:sz w:val="20"/>
              </w:rPr>
              <w:t>ESTRATÉGICO</w:t>
            </w:r>
          </w:p>
        </w:tc>
        <w:tc>
          <w:tcPr>
            <w:tcW w:w="1848" w:type="dxa"/>
            <w:shd w:val="clear" w:color="auto" w:fill="FFFF00"/>
          </w:tcPr>
          <w:p>
            <w:pPr>
              <w:pStyle w:val="TableParagraph"/>
              <w:spacing w:before="1"/>
              <w:ind w:left="369"/>
              <w:rPr>
                <w:b/>
                <w:sz w:val="20"/>
              </w:rPr>
            </w:pPr>
            <w:r>
              <w:rPr>
                <w:b/>
                <w:sz w:val="20"/>
              </w:rPr>
              <w:t>ACTIVIDADES</w:t>
            </w:r>
          </w:p>
        </w:tc>
        <w:tc>
          <w:tcPr>
            <w:tcW w:w="1845" w:type="dxa"/>
            <w:gridSpan w:val="2"/>
            <w:shd w:val="clear" w:color="auto" w:fill="FFFF00"/>
          </w:tcPr>
          <w:p>
            <w:pPr>
              <w:pStyle w:val="TableParagraph"/>
              <w:spacing w:before="1"/>
              <w:ind w:left="283"/>
              <w:rPr>
                <w:b/>
                <w:sz w:val="20"/>
              </w:rPr>
            </w:pPr>
            <w:r>
              <w:rPr>
                <w:b/>
                <w:sz w:val="20"/>
              </w:rPr>
              <w:t>METODOLOGIA</w:t>
            </w:r>
          </w:p>
        </w:tc>
        <w:tc>
          <w:tcPr>
            <w:tcW w:w="1552" w:type="dxa"/>
            <w:gridSpan w:val="2"/>
            <w:shd w:val="clear" w:color="auto" w:fill="FFFF00"/>
          </w:tcPr>
          <w:p>
            <w:pPr>
              <w:pStyle w:val="TableParagraph"/>
              <w:spacing w:before="1"/>
              <w:ind w:left="202"/>
              <w:rPr>
                <w:b/>
                <w:sz w:val="20"/>
              </w:rPr>
            </w:pPr>
            <w:r>
              <w:rPr>
                <w:b/>
                <w:sz w:val="20"/>
              </w:rPr>
              <w:t>INDICADORES</w:t>
            </w:r>
          </w:p>
        </w:tc>
      </w:tr>
      <w:tr>
        <w:trPr>
          <w:trHeight w:val="2196" w:hRule="atLeast"/>
        </w:trPr>
        <w:tc>
          <w:tcPr>
            <w:tcW w:w="2100" w:type="dxa"/>
            <w:vMerge w:val="restart"/>
            <w:tcBorders>
              <w:left w:val="single" w:sz="8" w:space="0" w:color="000000"/>
            </w:tcBorders>
            <w:shd w:val="clear" w:color="auto" w:fill="FFF1CC"/>
          </w:tcPr>
          <w:p>
            <w:pPr>
              <w:pStyle w:val="TableParagraph"/>
              <w:tabs>
                <w:tab w:pos="1154" w:val="left" w:leader="none"/>
              </w:tabs>
              <w:ind w:left="69" w:right="54"/>
              <w:jc w:val="both"/>
              <w:rPr>
                <w:sz w:val="20"/>
              </w:rPr>
            </w:pPr>
            <w:r>
              <w:rPr>
                <w:sz w:val="20"/>
              </w:rPr>
              <w:t>5. La ejecución anual </w:t>
            </w:r>
            <w:r>
              <w:rPr>
                <w:spacing w:val="-6"/>
                <w:sz w:val="20"/>
              </w:rPr>
              <w:t>de </w:t>
            </w:r>
            <w:r>
              <w:rPr>
                <w:sz w:val="20"/>
              </w:rPr>
              <w:t>los</w:t>
              <w:tab/>
            </w:r>
            <w:r>
              <w:rPr>
                <w:w w:val="95"/>
                <w:sz w:val="20"/>
              </w:rPr>
              <w:t>programas </w:t>
            </w:r>
            <w:r>
              <w:rPr>
                <w:sz w:val="20"/>
              </w:rPr>
              <w:t>educativos y aplicación de resultados de la Yachayllajta</w:t>
            </w:r>
            <w:r>
              <w:rPr>
                <w:spacing w:val="4"/>
                <w:sz w:val="20"/>
              </w:rPr>
              <w:t> </w:t>
            </w:r>
            <w:r>
              <w:rPr>
                <w:spacing w:val="-3"/>
                <w:sz w:val="20"/>
              </w:rPr>
              <w:t>Unibol</w:t>
            </w:r>
          </w:p>
          <w:p>
            <w:pPr>
              <w:pStyle w:val="TableParagraph"/>
              <w:tabs>
                <w:tab w:pos="1285" w:val="left" w:leader="none"/>
                <w:tab w:pos="1337" w:val="left" w:leader="none"/>
                <w:tab w:pos="1582" w:val="left" w:leader="none"/>
                <w:tab w:pos="1805" w:val="left" w:leader="none"/>
                <w:tab w:pos="1935" w:val="left" w:leader="none"/>
              </w:tabs>
              <w:ind w:left="69" w:right="53"/>
              <w:rPr>
                <w:b/>
                <w:sz w:val="20"/>
              </w:rPr>
            </w:pPr>
            <w:r>
              <w:rPr>
                <w:sz w:val="20"/>
              </w:rPr>
              <w:t>quechua,</w:t>
              <w:tab/>
              <w:tab/>
              <w:tab/>
            </w:r>
            <w:r>
              <w:rPr>
                <w:spacing w:val="-4"/>
                <w:sz w:val="20"/>
              </w:rPr>
              <w:t>están </w:t>
            </w:r>
            <w:r>
              <w:rPr>
                <w:sz w:val="20"/>
              </w:rPr>
              <w:t>articulados</w:t>
              <w:tab/>
              <w:tab/>
              <w:t>a</w:t>
              <w:tab/>
              <w:tab/>
            </w:r>
            <w:r>
              <w:rPr>
                <w:spacing w:val="-5"/>
                <w:sz w:val="20"/>
              </w:rPr>
              <w:t>las </w:t>
            </w:r>
            <w:r>
              <w:rPr>
                <w:sz w:val="20"/>
              </w:rPr>
              <w:t>coberturas y acciones territoriales estratégicas concertadas</w:t>
              <w:tab/>
            </w:r>
            <w:r>
              <w:rPr>
                <w:w w:val="95"/>
                <w:sz w:val="20"/>
              </w:rPr>
              <w:t>con</w:t>
              <w:tab/>
              <w:tab/>
            </w:r>
            <w:r>
              <w:rPr>
                <w:spacing w:val="-5"/>
                <w:sz w:val="20"/>
              </w:rPr>
              <w:t>las </w:t>
            </w:r>
            <w:r>
              <w:rPr>
                <w:sz w:val="20"/>
              </w:rPr>
              <w:t>Organizaciones</w:t>
              <w:tab/>
              <w:tab/>
              <w:tab/>
              <w:tab/>
            </w:r>
            <w:r>
              <w:rPr>
                <w:spacing w:val="-14"/>
                <w:sz w:val="20"/>
              </w:rPr>
              <w:t>y </w:t>
            </w:r>
            <w:r>
              <w:rPr>
                <w:sz w:val="20"/>
              </w:rPr>
              <w:t>Gobiernos de la Nación quechua de </w:t>
            </w:r>
            <w:r>
              <w:rPr>
                <w:b/>
                <w:sz w:val="20"/>
              </w:rPr>
              <w:t>mediano y largo</w:t>
            </w:r>
            <w:r>
              <w:rPr>
                <w:b/>
                <w:spacing w:val="-1"/>
                <w:sz w:val="20"/>
              </w:rPr>
              <w:t> </w:t>
            </w:r>
            <w:r>
              <w:rPr>
                <w:b/>
                <w:sz w:val="20"/>
              </w:rPr>
              <w:t>plazo</w:t>
            </w:r>
          </w:p>
        </w:tc>
        <w:tc>
          <w:tcPr>
            <w:tcW w:w="1863" w:type="dxa"/>
            <w:vMerge w:val="restart"/>
            <w:shd w:val="clear" w:color="auto" w:fill="FFF1CC"/>
          </w:tcPr>
          <w:p>
            <w:pPr>
              <w:pStyle w:val="TableParagraph"/>
              <w:tabs>
                <w:tab w:pos="827" w:val="left" w:leader="none"/>
                <w:tab w:pos="1499" w:val="left" w:leader="none"/>
              </w:tabs>
              <w:ind w:left="72" w:right="57"/>
              <w:rPr>
                <w:sz w:val="20"/>
              </w:rPr>
            </w:pPr>
            <w:r>
              <w:rPr>
                <w:sz w:val="20"/>
              </w:rPr>
              <w:t>La</w:t>
              <w:tab/>
            </w:r>
            <w:r>
              <w:rPr>
                <w:spacing w:val="-3"/>
                <w:sz w:val="20"/>
              </w:rPr>
              <w:t>Universidad </w:t>
            </w:r>
            <w:r>
              <w:rPr>
                <w:sz w:val="20"/>
              </w:rPr>
              <w:t>cuenta</w:t>
              <w:tab/>
              <w:tab/>
            </w:r>
            <w:r>
              <w:rPr>
                <w:spacing w:val="-6"/>
                <w:sz w:val="20"/>
              </w:rPr>
              <w:t>con</w:t>
            </w:r>
          </w:p>
          <w:p>
            <w:pPr>
              <w:pStyle w:val="TableParagraph"/>
              <w:tabs>
                <w:tab w:pos="974" w:val="left" w:leader="none"/>
                <w:tab w:pos="1486" w:val="left" w:leader="none"/>
              </w:tabs>
              <w:ind w:left="72" w:right="54"/>
              <w:rPr>
                <w:sz w:val="20"/>
              </w:rPr>
            </w:pPr>
            <w:r>
              <w:rPr>
                <w:sz w:val="20"/>
              </w:rPr>
              <w:t>resoluciones de las Organizaciones IOCs y  </w:t>
            </w:r>
            <w:r>
              <w:rPr>
                <w:spacing w:val="44"/>
                <w:sz w:val="20"/>
              </w:rPr>
              <w:t> </w:t>
            </w:r>
            <w:r>
              <w:rPr>
                <w:sz w:val="20"/>
              </w:rPr>
              <w:t>quechuas</w:t>
              <w:tab/>
            </w:r>
            <w:r>
              <w:rPr>
                <w:spacing w:val="-6"/>
                <w:sz w:val="20"/>
              </w:rPr>
              <w:t>que </w:t>
            </w:r>
            <w:r>
              <w:rPr>
                <w:sz w:val="20"/>
              </w:rPr>
              <w:t>respaldan el aporte a su</w:t>
              <w:tab/>
              <w:t>desarrollo productivo, anualmente al </w:t>
            </w:r>
            <w:r>
              <w:rPr>
                <w:spacing w:val="-4"/>
                <w:sz w:val="20"/>
              </w:rPr>
              <w:t>4to </w:t>
            </w:r>
            <w:r>
              <w:rPr>
                <w:sz w:val="20"/>
              </w:rPr>
              <w:t>trimestre</w:t>
            </w:r>
          </w:p>
        </w:tc>
        <w:tc>
          <w:tcPr>
            <w:tcW w:w="1848" w:type="dxa"/>
            <w:shd w:val="clear" w:color="auto" w:fill="FFF1CC"/>
          </w:tcPr>
          <w:p>
            <w:pPr>
              <w:pStyle w:val="TableParagraph"/>
              <w:ind w:left="74" w:right="55"/>
              <w:jc w:val="both"/>
              <w:rPr>
                <w:sz w:val="20"/>
              </w:rPr>
            </w:pPr>
            <w:r>
              <w:rPr>
                <w:sz w:val="20"/>
              </w:rPr>
              <w:t>17. Elaboración de Plan de Vida Estratégica (a 20 años) de la Yachayllajta Unibol Quechua.</w:t>
            </w:r>
          </w:p>
        </w:tc>
        <w:tc>
          <w:tcPr>
            <w:tcW w:w="1845" w:type="dxa"/>
            <w:gridSpan w:val="2"/>
            <w:shd w:val="clear" w:color="auto" w:fill="FFF1CC"/>
          </w:tcPr>
          <w:p>
            <w:pPr>
              <w:pStyle w:val="TableParagraph"/>
              <w:tabs>
                <w:tab w:pos="822" w:val="left" w:leader="none"/>
              </w:tabs>
              <w:ind w:left="74" w:right="54"/>
              <w:rPr>
                <w:sz w:val="20"/>
              </w:rPr>
            </w:pPr>
            <w:r>
              <w:rPr>
                <w:sz w:val="20"/>
              </w:rPr>
              <w:t>Eventos resolutivos y consultivos de la Nación Quechua, </w:t>
            </w:r>
            <w:r>
              <w:rPr>
                <w:spacing w:val="-4"/>
                <w:sz w:val="20"/>
              </w:rPr>
              <w:t>las </w:t>
            </w:r>
            <w:r>
              <w:rPr>
                <w:sz w:val="20"/>
              </w:rPr>
              <w:t>Juntas</w:t>
              <w:tab/>
              <w:t>de </w:t>
            </w:r>
            <w:r>
              <w:rPr>
                <w:spacing w:val="-4"/>
                <w:sz w:val="20"/>
              </w:rPr>
              <w:t>UNIBOL </w:t>
            </w:r>
            <w:r>
              <w:rPr>
                <w:sz w:val="20"/>
              </w:rPr>
              <w:t>para generar </w:t>
            </w:r>
            <w:r>
              <w:rPr>
                <w:spacing w:val="-3"/>
                <w:sz w:val="20"/>
              </w:rPr>
              <w:t>Plan, </w:t>
            </w:r>
            <w:r>
              <w:rPr>
                <w:sz w:val="20"/>
              </w:rPr>
              <w:t>en coordinación </w:t>
            </w:r>
            <w:r>
              <w:rPr>
                <w:spacing w:val="-5"/>
                <w:sz w:val="20"/>
              </w:rPr>
              <w:t>con </w:t>
            </w:r>
            <w:r>
              <w:rPr>
                <w:sz w:val="20"/>
              </w:rPr>
              <w:t>Entidades gubernativas</w:t>
            </w:r>
          </w:p>
          <w:p>
            <w:pPr>
              <w:pStyle w:val="TableParagraph"/>
              <w:spacing w:line="223" w:lineRule="exact"/>
              <w:ind w:left="74"/>
              <w:rPr>
                <w:sz w:val="20"/>
              </w:rPr>
            </w:pPr>
            <w:r>
              <w:rPr>
                <w:sz w:val="20"/>
              </w:rPr>
              <w:t>vinculadas</w:t>
            </w:r>
          </w:p>
        </w:tc>
        <w:tc>
          <w:tcPr>
            <w:tcW w:w="1111" w:type="dxa"/>
            <w:tcBorders>
              <w:right w:val="nil"/>
            </w:tcBorders>
            <w:shd w:val="clear" w:color="auto" w:fill="FFF1CC"/>
          </w:tcPr>
          <w:p>
            <w:pPr>
              <w:pStyle w:val="TableParagraph"/>
              <w:ind w:left="75"/>
              <w:rPr>
                <w:sz w:val="20"/>
              </w:rPr>
            </w:pPr>
            <w:r>
              <w:rPr>
                <w:w w:val="95"/>
                <w:sz w:val="20"/>
              </w:rPr>
              <w:t>Documento </w:t>
            </w:r>
            <w:r>
              <w:rPr>
                <w:sz w:val="20"/>
              </w:rPr>
              <w:t>aprobado Ministerio</w:t>
            </w:r>
          </w:p>
        </w:tc>
        <w:tc>
          <w:tcPr>
            <w:tcW w:w="441" w:type="dxa"/>
            <w:tcBorders>
              <w:left w:val="nil"/>
            </w:tcBorders>
            <w:shd w:val="clear" w:color="auto" w:fill="FFF1CC"/>
          </w:tcPr>
          <w:p>
            <w:pPr>
              <w:pStyle w:val="TableParagraph"/>
              <w:spacing w:before="9"/>
              <w:rPr>
                <w:b/>
                <w:sz w:val="19"/>
              </w:rPr>
            </w:pPr>
          </w:p>
          <w:p>
            <w:pPr>
              <w:pStyle w:val="TableParagraph"/>
              <w:ind w:left="81" w:right="34"/>
              <w:jc w:val="center"/>
              <w:rPr>
                <w:sz w:val="20"/>
              </w:rPr>
            </w:pPr>
            <w:r>
              <w:rPr>
                <w:sz w:val="20"/>
              </w:rPr>
              <w:t>por</w:t>
            </w:r>
          </w:p>
        </w:tc>
      </w:tr>
      <w:tr>
        <w:trPr>
          <w:trHeight w:val="1466" w:hRule="atLeast"/>
        </w:trPr>
        <w:tc>
          <w:tcPr>
            <w:tcW w:w="2100" w:type="dxa"/>
            <w:vMerge/>
            <w:tcBorders>
              <w:top w:val="nil"/>
              <w:left w:val="single" w:sz="8" w:space="0" w:color="000000"/>
            </w:tcBorders>
            <w:shd w:val="clear" w:color="auto" w:fill="FFF1CC"/>
          </w:tcPr>
          <w:p>
            <w:pPr>
              <w:rPr>
                <w:sz w:val="2"/>
                <w:szCs w:val="2"/>
              </w:rPr>
            </w:pPr>
          </w:p>
        </w:tc>
        <w:tc>
          <w:tcPr>
            <w:tcW w:w="1863" w:type="dxa"/>
            <w:vMerge/>
            <w:tcBorders>
              <w:top w:val="nil"/>
            </w:tcBorders>
            <w:shd w:val="clear" w:color="auto" w:fill="FFF1CC"/>
          </w:tcPr>
          <w:p>
            <w:pPr>
              <w:rPr>
                <w:sz w:val="2"/>
                <w:szCs w:val="2"/>
              </w:rPr>
            </w:pPr>
          </w:p>
        </w:tc>
        <w:tc>
          <w:tcPr>
            <w:tcW w:w="1848" w:type="dxa"/>
            <w:shd w:val="clear" w:color="auto" w:fill="FFF1CC"/>
          </w:tcPr>
          <w:p>
            <w:pPr>
              <w:pStyle w:val="TableParagraph"/>
              <w:tabs>
                <w:tab w:pos="1333" w:val="left" w:leader="none"/>
              </w:tabs>
              <w:ind w:left="74" w:right="55"/>
              <w:jc w:val="both"/>
              <w:rPr>
                <w:sz w:val="20"/>
              </w:rPr>
            </w:pPr>
            <w:r>
              <w:rPr>
                <w:sz w:val="20"/>
              </w:rPr>
              <w:t>18. Aprobación </w:t>
            </w:r>
            <w:r>
              <w:rPr>
                <w:spacing w:val="-14"/>
                <w:sz w:val="20"/>
              </w:rPr>
              <w:t>y </w:t>
            </w:r>
            <w:r>
              <w:rPr>
                <w:sz w:val="20"/>
              </w:rPr>
              <w:t>aplicación del </w:t>
            </w:r>
            <w:r>
              <w:rPr>
                <w:spacing w:val="-3"/>
                <w:sz w:val="20"/>
              </w:rPr>
              <w:t>Plan </w:t>
            </w:r>
            <w:r>
              <w:rPr>
                <w:sz w:val="20"/>
              </w:rPr>
              <w:t>en</w:t>
              <w:tab/>
            </w:r>
            <w:r>
              <w:rPr>
                <w:spacing w:val="-3"/>
                <w:sz w:val="20"/>
              </w:rPr>
              <w:t>ciclos</w:t>
            </w:r>
          </w:p>
          <w:p>
            <w:pPr>
              <w:pStyle w:val="TableParagraph"/>
              <w:spacing w:before="1"/>
              <w:ind w:left="74"/>
              <w:rPr>
                <w:sz w:val="20"/>
              </w:rPr>
            </w:pPr>
            <w:r>
              <w:rPr>
                <w:sz w:val="20"/>
              </w:rPr>
              <w:t>quinquenales por </w:t>
            </w:r>
            <w:r>
              <w:rPr>
                <w:spacing w:val="-4"/>
                <w:sz w:val="20"/>
              </w:rPr>
              <w:t>los </w:t>
            </w:r>
            <w:r>
              <w:rPr>
                <w:sz w:val="20"/>
              </w:rPr>
              <w:t>órganos   directivos</w:t>
            </w:r>
            <w:r>
              <w:rPr>
                <w:spacing w:val="-17"/>
                <w:sz w:val="20"/>
              </w:rPr>
              <w:t> </w:t>
            </w:r>
            <w:r>
              <w:rPr>
                <w:spacing w:val="-14"/>
                <w:sz w:val="20"/>
              </w:rPr>
              <w:t>y</w:t>
            </w:r>
          </w:p>
          <w:p>
            <w:pPr>
              <w:pStyle w:val="TableParagraph"/>
              <w:spacing w:line="224" w:lineRule="exact"/>
              <w:ind w:left="74"/>
              <w:rPr>
                <w:sz w:val="20"/>
              </w:rPr>
            </w:pPr>
            <w:r>
              <w:rPr>
                <w:sz w:val="20"/>
              </w:rPr>
              <w:t>operativos.</w:t>
            </w:r>
          </w:p>
        </w:tc>
        <w:tc>
          <w:tcPr>
            <w:tcW w:w="1342" w:type="dxa"/>
            <w:tcBorders>
              <w:right w:val="nil"/>
            </w:tcBorders>
            <w:shd w:val="clear" w:color="auto" w:fill="FFF1CC"/>
          </w:tcPr>
          <w:p>
            <w:pPr>
              <w:pStyle w:val="TableParagraph"/>
              <w:tabs>
                <w:tab w:pos="1065" w:val="left" w:leader="none"/>
              </w:tabs>
              <w:ind w:left="74" w:right="64"/>
              <w:rPr>
                <w:sz w:val="20"/>
              </w:rPr>
            </w:pPr>
            <w:r>
              <w:rPr>
                <w:sz w:val="20"/>
              </w:rPr>
              <w:t>Sesiones</w:t>
              <w:tab/>
            </w:r>
            <w:r>
              <w:rPr>
                <w:spacing w:val="-8"/>
                <w:sz w:val="20"/>
              </w:rPr>
              <w:t>de </w:t>
            </w:r>
            <w:r>
              <w:rPr>
                <w:sz w:val="20"/>
              </w:rPr>
              <w:t>Juntas consideración aprobación</w:t>
            </w:r>
          </w:p>
        </w:tc>
        <w:tc>
          <w:tcPr>
            <w:tcW w:w="503" w:type="dxa"/>
            <w:tcBorders>
              <w:left w:val="nil"/>
            </w:tcBorders>
            <w:shd w:val="clear" w:color="auto" w:fill="FFF1CC"/>
          </w:tcPr>
          <w:p>
            <w:pPr>
              <w:pStyle w:val="TableParagraph"/>
              <w:ind w:left="75" w:right="53" w:firstLine="146"/>
              <w:jc w:val="right"/>
              <w:rPr>
                <w:sz w:val="20"/>
              </w:rPr>
            </w:pPr>
            <w:r>
              <w:rPr>
                <w:w w:val="95"/>
                <w:sz w:val="20"/>
              </w:rPr>
              <w:t>las para</w:t>
            </w:r>
          </w:p>
          <w:p>
            <w:pPr>
              <w:pStyle w:val="TableParagraph"/>
              <w:ind w:right="53"/>
              <w:jc w:val="right"/>
              <w:rPr>
                <w:sz w:val="20"/>
              </w:rPr>
            </w:pPr>
            <w:r>
              <w:rPr>
                <w:w w:val="99"/>
                <w:sz w:val="20"/>
              </w:rPr>
              <w:t>y</w:t>
            </w:r>
          </w:p>
        </w:tc>
        <w:tc>
          <w:tcPr>
            <w:tcW w:w="1111" w:type="dxa"/>
            <w:tcBorders>
              <w:right w:val="nil"/>
            </w:tcBorders>
            <w:shd w:val="clear" w:color="auto" w:fill="FFF1CC"/>
          </w:tcPr>
          <w:p>
            <w:pPr>
              <w:pStyle w:val="TableParagraph"/>
              <w:ind w:left="75"/>
              <w:rPr>
                <w:sz w:val="20"/>
              </w:rPr>
            </w:pPr>
            <w:r>
              <w:rPr>
                <w:w w:val="95"/>
                <w:sz w:val="20"/>
              </w:rPr>
              <w:t>Documento </w:t>
            </w:r>
            <w:r>
              <w:rPr>
                <w:sz w:val="20"/>
              </w:rPr>
              <w:t>aprobado Ministerio</w:t>
            </w:r>
          </w:p>
        </w:tc>
        <w:tc>
          <w:tcPr>
            <w:tcW w:w="441" w:type="dxa"/>
            <w:tcBorders>
              <w:left w:val="nil"/>
            </w:tcBorders>
            <w:shd w:val="clear" w:color="auto" w:fill="FFF1CC"/>
          </w:tcPr>
          <w:p>
            <w:pPr>
              <w:pStyle w:val="TableParagraph"/>
              <w:spacing w:before="11"/>
              <w:rPr>
                <w:b/>
                <w:sz w:val="19"/>
              </w:rPr>
            </w:pPr>
          </w:p>
          <w:p>
            <w:pPr>
              <w:pStyle w:val="TableParagraph"/>
              <w:spacing w:before="1"/>
              <w:ind w:left="81" w:right="34"/>
              <w:jc w:val="center"/>
              <w:rPr>
                <w:sz w:val="20"/>
              </w:rPr>
            </w:pPr>
            <w:r>
              <w:rPr>
                <w:sz w:val="20"/>
              </w:rPr>
              <w:t>por</w:t>
            </w:r>
          </w:p>
        </w:tc>
      </w:tr>
      <w:tr>
        <w:trPr>
          <w:trHeight w:val="1708" w:hRule="atLeast"/>
        </w:trPr>
        <w:tc>
          <w:tcPr>
            <w:tcW w:w="2100" w:type="dxa"/>
            <w:vMerge/>
            <w:tcBorders>
              <w:top w:val="nil"/>
              <w:left w:val="single" w:sz="8" w:space="0" w:color="000000"/>
            </w:tcBorders>
            <w:shd w:val="clear" w:color="auto" w:fill="FFF1CC"/>
          </w:tcPr>
          <w:p>
            <w:pPr>
              <w:rPr>
                <w:sz w:val="2"/>
                <w:szCs w:val="2"/>
              </w:rPr>
            </w:pPr>
          </w:p>
        </w:tc>
        <w:tc>
          <w:tcPr>
            <w:tcW w:w="1863" w:type="dxa"/>
            <w:vMerge/>
            <w:tcBorders>
              <w:top w:val="nil"/>
            </w:tcBorders>
            <w:shd w:val="clear" w:color="auto" w:fill="FFF1CC"/>
          </w:tcPr>
          <w:p>
            <w:pPr>
              <w:rPr>
                <w:sz w:val="2"/>
                <w:szCs w:val="2"/>
              </w:rPr>
            </w:pPr>
          </w:p>
        </w:tc>
        <w:tc>
          <w:tcPr>
            <w:tcW w:w="1848" w:type="dxa"/>
            <w:shd w:val="clear" w:color="auto" w:fill="FFF1CC"/>
          </w:tcPr>
          <w:p>
            <w:pPr>
              <w:pStyle w:val="TableParagraph"/>
              <w:tabs>
                <w:tab w:pos="1681" w:val="left" w:leader="none"/>
              </w:tabs>
              <w:ind w:left="74" w:right="55"/>
              <w:jc w:val="both"/>
              <w:rPr>
                <w:sz w:val="20"/>
              </w:rPr>
            </w:pPr>
            <w:r>
              <w:rPr>
                <w:sz w:val="20"/>
              </w:rPr>
              <w:t>19. Aprobación </w:t>
            </w:r>
            <w:r>
              <w:rPr>
                <w:spacing w:val="-14"/>
                <w:sz w:val="20"/>
              </w:rPr>
              <w:t>y </w:t>
            </w:r>
            <w:r>
              <w:rPr>
                <w:sz w:val="20"/>
              </w:rPr>
              <w:t>seguimiento</w:t>
              <w:tab/>
            </w:r>
            <w:r>
              <w:rPr>
                <w:spacing w:val="-14"/>
                <w:sz w:val="20"/>
              </w:rPr>
              <w:t>a </w:t>
            </w:r>
            <w:r>
              <w:rPr>
                <w:sz w:val="20"/>
              </w:rPr>
              <w:t>procesos-impacto de los planes anuales de internado </w:t>
            </w:r>
            <w:r>
              <w:rPr>
                <w:spacing w:val="-14"/>
                <w:sz w:val="20"/>
              </w:rPr>
              <w:t>y </w:t>
            </w:r>
            <w:r>
              <w:rPr>
                <w:sz w:val="20"/>
              </w:rPr>
              <w:t>territoriales</w:t>
            </w:r>
          </w:p>
        </w:tc>
        <w:tc>
          <w:tcPr>
            <w:tcW w:w="1342" w:type="dxa"/>
            <w:tcBorders>
              <w:right w:val="nil"/>
            </w:tcBorders>
            <w:shd w:val="clear" w:color="auto" w:fill="FFF1CC"/>
          </w:tcPr>
          <w:p>
            <w:pPr>
              <w:pStyle w:val="TableParagraph"/>
              <w:tabs>
                <w:tab w:pos="980" w:val="left" w:leader="none"/>
              </w:tabs>
              <w:ind w:left="74" w:right="52"/>
              <w:rPr>
                <w:sz w:val="20"/>
              </w:rPr>
            </w:pPr>
            <w:r>
              <w:rPr>
                <w:sz w:val="20"/>
              </w:rPr>
              <w:t>Diseño metodológico especialistas </w:t>
            </w:r>
            <w:r>
              <w:rPr>
                <w:w w:val="95"/>
                <w:sz w:val="20"/>
              </w:rPr>
              <w:t>organizaciones </w:t>
            </w:r>
            <w:r>
              <w:rPr>
                <w:sz w:val="20"/>
              </w:rPr>
              <w:t>beneficiarias, tratado</w:t>
              <w:tab/>
              <w:t>por</w:t>
            </w:r>
          </w:p>
          <w:p>
            <w:pPr>
              <w:pStyle w:val="TableParagraph"/>
              <w:spacing w:line="225" w:lineRule="exact"/>
              <w:ind w:left="74"/>
              <w:rPr>
                <w:sz w:val="20"/>
              </w:rPr>
            </w:pPr>
            <w:r>
              <w:rPr>
                <w:sz w:val="20"/>
              </w:rPr>
              <w:t>Juntas</w:t>
            </w:r>
          </w:p>
        </w:tc>
        <w:tc>
          <w:tcPr>
            <w:tcW w:w="503" w:type="dxa"/>
            <w:tcBorders>
              <w:left w:val="nil"/>
            </w:tcBorders>
            <w:shd w:val="clear" w:color="auto" w:fill="FFF1CC"/>
          </w:tcPr>
          <w:p>
            <w:pPr>
              <w:pStyle w:val="TableParagraph"/>
              <w:spacing w:before="11"/>
              <w:rPr>
                <w:b/>
                <w:sz w:val="19"/>
              </w:rPr>
            </w:pPr>
          </w:p>
          <w:p>
            <w:pPr>
              <w:pStyle w:val="TableParagraph"/>
              <w:spacing w:before="1"/>
              <w:ind w:left="351" w:right="53" w:hanging="190"/>
              <w:jc w:val="right"/>
              <w:rPr>
                <w:sz w:val="20"/>
              </w:rPr>
            </w:pPr>
            <w:r>
              <w:rPr>
                <w:w w:val="95"/>
                <w:sz w:val="20"/>
              </w:rPr>
              <w:t>por y</w:t>
            </w:r>
          </w:p>
          <w:p>
            <w:pPr>
              <w:pStyle w:val="TableParagraph"/>
              <w:rPr>
                <w:b/>
                <w:sz w:val="20"/>
              </w:rPr>
            </w:pPr>
          </w:p>
          <w:p>
            <w:pPr>
              <w:pStyle w:val="TableParagraph"/>
              <w:rPr>
                <w:b/>
                <w:sz w:val="20"/>
              </w:rPr>
            </w:pPr>
          </w:p>
          <w:p>
            <w:pPr>
              <w:pStyle w:val="TableParagraph"/>
              <w:ind w:right="52"/>
              <w:jc w:val="right"/>
              <w:rPr>
                <w:sz w:val="20"/>
              </w:rPr>
            </w:pPr>
            <w:r>
              <w:rPr>
                <w:spacing w:val="-1"/>
                <w:sz w:val="20"/>
              </w:rPr>
              <w:t>las</w:t>
            </w:r>
          </w:p>
        </w:tc>
        <w:tc>
          <w:tcPr>
            <w:tcW w:w="1552" w:type="dxa"/>
            <w:gridSpan w:val="2"/>
            <w:shd w:val="clear" w:color="auto" w:fill="FFF1CC"/>
          </w:tcPr>
          <w:p>
            <w:pPr>
              <w:pStyle w:val="TableParagraph"/>
              <w:ind w:left="75"/>
              <w:rPr>
                <w:sz w:val="20"/>
              </w:rPr>
            </w:pPr>
            <w:r>
              <w:rPr>
                <w:sz w:val="20"/>
              </w:rPr>
              <w:t>Aplicación intra institucional e in situ con actores locales documentada anualmente</w:t>
            </w:r>
          </w:p>
        </w:tc>
      </w:tr>
      <w:tr>
        <w:trPr>
          <w:trHeight w:val="2197" w:hRule="atLeast"/>
        </w:trPr>
        <w:tc>
          <w:tcPr>
            <w:tcW w:w="2100" w:type="dxa"/>
            <w:vMerge/>
            <w:tcBorders>
              <w:top w:val="nil"/>
              <w:left w:val="single" w:sz="8" w:space="0" w:color="000000"/>
            </w:tcBorders>
            <w:shd w:val="clear" w:color="auto" w:fill="FFF1CC"/>
          </w:tcPr>
          <w:p>
            <w:pPr>
              <w:rPr>
                <w:sz w:val="2"/>
                <w:szCs w:val="2"/>
              </w:rPr>
            </w:pPr>
          </w:p>
        </w:tc>
        <w:tc>
          <w:tcPr>
            <w:tcW w:w="1863" w:type="dxa"/>
            <w:vMerge/>
            <w:tcBorders>
              <w:top w:val="nil"/>
            </w:tcBorders>
            <w:shd w:val="clear" w:color="auto" w:fill="FFF1CC"/>
          </w:tcPr>
          <w:p>
            <w:pPr>
              <w:rPr>
                <w:sz w:val="2"/>
                <w:szCs w:val="2"/>
              </w:rPr>
            </w:pPr>
          </w:p>
        </w:tc>
        <w:tc>
          <w:tcPr>
            <w:tcW w:w="1848" w:type="dxa"/>
            <w:shd w:val="clear" w:color="auto" w:fill="FFF1CC"/>
          </w:tcPr>
          <w:p>
            <w:pPr>
              <w:pStyle w:val="TableParagraph"/>
              <w:tabs>
                <w:tab w:pos="599" w:val="left" w:leader="none"/>
                <w:tab w:pos="1690" w:val="left" w:leader="none"/>
              </w:tabs>
              <w:ind w:left="74" w:right="54"/>
              <w:rPr>
                <w:sz w:val="20"/>
              </w:rPr>
            </w:pPr>
            <w:r>
              <w:rPr>
                <w:sz w:val="20"/>
              </w:rPr>
              <w:t>20.</w:t>
              <w:tab/>
            </w:r>
            <w:r>
              <w:rPr>
                <w:w w:val="95"/>
                <w:sz w:val="20"/>
              </w:rPr>
              <w:t>Estructuración </w:t>
            </w:r>
            <w:r>
              <w:rPr>
                <w:sz w:val="20"/>
              </w:rPr>
              <w:t>de mecanismos de coordinación</w:t>
              <w:tab/>
            </w:r>
            <w:r>
              <w:rPr>
                <w:spacing w:val="-17"/>
                <w:sz w:val="20"/>
              </w:rPr>
              <w:t>y </w:t>
            </w:r>
            <w:r>
              <w:rPr>
                <w:sz w:val="20"/>
              </w:rPr>
              <w:t>articulación permanente orgánica-académica- gubernativa en las territorialidades</w:t>
            </w:r>
          </w:p>
          <w:p>
            <w:pPr>
              <w:pStyle w:val="TableParagraph"/>
              <w:spacing w:line="225" w:lineRule="exact"/>
              <w:ind w:left="74"/>
              <w:rPr>
                <w:sz w:val="20"/>
              </w:rPr>
            </w:pPr>
            <w:r>
              <w:rPr>
                <w:sz w:val="20"/>
              </w:rPr>
              <w:t>atendidas.</w:t>
            </w:r>
          </w:p>
        </w:tc>
        <w:tc>
          <w:tcPr>
            <w:tcW w:w="1845" w:type="dxa"/>
            <w:gridSpan w:val="2"/>
            <w:shd w:val="clear" w:color="auto" w:fill="FFF1CC"/>
          </w:tcPr>
          <w:p>
            <w:pPr>
              <w:pStyle w:val="TableParagraph"/>
              <w:spacing w:line="243" w:lineRule="exact"/>
              <w:ind w:left="74"/>
              <w:jc w:val="both"/>
              <w:rPr>
                <w:sz w:val="20"/>
              </w:rPr>
            </w:pPr>
            <w:r>
              <w:rPr>
                <w:sz w:val="20"/>
              </w:rPr>
              <w:t>Concertación del</w:t>
            </w:r>
          </w:p>
          <w:p>
            <w:pPr>
              <w:pStyle w:val="TableParagraph"/>
              <w:tabs>
                <w:tab w:pos="1573" w:val="left" w:leader="none"/>
              </w:tabs>
              <w:ind w:left="74" w:right="54"/>
              <w:jc w:val="both"/>
              <w:rPr>
                <w:sz w:val="20"/>
              </w:rPr>
            </w:pPr>
            <w:r>
              <w:rPr>
                <w:sz w:val="20"/>
              </w:rPr>
              <w:t>mecanismo</w:t>
              <w:tab/>
            </w:r>
            <w:r>
              <w:rPr>
                <w:spacing w:val="-8"/>
                <w:sz w:val="20"/>
              </w:rPr>
              <w:t>de </w:t>
            </w:r>
            <w:r>
              <w:rPr>
                <w:sz w:val="20"/>
              </w:rPr>
              <w:t>coordinación y </w:t>
            </w:r>
            <w:r>
              <w:rPr>
                <w:spacing w:val="-4"/>
                <w:sz w:val="20"/>
              </w:rPr>
              <w:t>firma </w:t>
            </w:r>
            <w:r>
              <w:rPr>
                <w:sz w:val="20"/>
              </w:rPr>
              <w:t>convenio</w:t>
              <w:tab/>
            </w:r>
            <w:r>
              <w:rPr>
                <w:spacing w:val="-9"/>
                <w:sz w:val="20"/>
              </w:rPr>
              <w:t>de </w:t>
            </w:r>
            <w:r>
              <w:rPr>
                <w:sz w:val="20"/>
              </w:rPr>
              <w:t>acuerdo</w:t>
            </w:r>
            <w:r>
              <w:rPr>
                <w:spacing w:val="-2"/>
                <w:sz w:val="20"/>
              </w:rPr>
              <w:t> </w:t>
            </w:r>
            <w:r>
              <w:rPr>
                <w:sz w:val="20"/>
              </w:rPr>
              <w:t>específicos</w:t>
            </w:r>
          </w:p>
        </w:tc>
        <w:tc>
          <w:tcPr>
            <w:tcW w:w="1552" w:type="dxa"/>
            <w:gridSpan w:val="2"/>
            <w:shd w:val="clear" w:color="auto" w:fill="FFF1CC"/>
          </w:tcPr>
          <w:p>
            <w:pPr>
              <w:pStyle w:val="TableParagraph"/>
              <w:tabs>
                <w:tab w:pos="1205" w:val="left" w:leader="none"/>
              </w:tabs>
              <w:ind w:left="75" w:right="54"/>
              <w:rPr>
                <w:sz w:val="20"/>
              </w:rPr>
            </w:pPr>
            <w:r>
              <w:rPr>
                <w:sz w:val="20"/>
              </w:rPr>
              <w:t>Por lo menos </w:t>
            </w:r>
            <w:r>
              <w:rPr>
                <w:spacing w:val="-12"/>
                <w:sz w:val="20"/>
              </w:rPr>
              <w:t>4 </w:t>
            </w:r>
            <w:r>
              <w:rPr>
                <w:sz w:val="20"/>
              </w:rPr>
              <w:t>convenios pactados</w:t>
              <w:tab/>
            </w:r>
            <w:r>
              <w:rPr>
                <w:spacing w:val="-6"/>
                <w:sz w:val="20"/>
              </w:rPr>
              <w:t>por</w:t>
            </w:r>
          </w:p>
          <w:p>
            <w:pPr>
              <w:pStyle w:val="TableParagraph"/>
              <w:tabs>
                <w:tab w:pos="742" w:val="left" w:leader="none"/>
                <w:tab w:pos="1193" w:val="left" w:leader="none"/>
              </w:tabs>
              <w:spacing w:line="244" w:lineRule="exact"/>
              <w:ind w:left="75"/>
              <w:rPr>
                <w:sz w:val="20"/>
              </w:rPr>
            </w:pPr>
            <w:r>
              <w:rPr>
                <w:sz w:val="20"/>
              </w:rPr>
              <w:t>año</w:t>
              <w:tab/>
              <w:t>y</w:t>
              <w:tab/>
              <w:t>con</w:t>
            </w:r>
          </w:p>
          <w:p>
            <w:pPr>
              <w:pStyle w:val="TableParagraph"/>
              <w:tabs>
                <w:tab w:pos="1279" w:val="left" w:leader="none"/>
              </w:tabs>
              <w:ind w:left="75" w:right="55"/>
              <w:rPr>
                <w:sz w:val="20"/>
              </w:rPr>
            </w:pPr>
            <w:r>
              <w:rPr>
                <w:sz w:val="20"/>
              </w:rPr>
              <w:t>informe</w:t>
              <w:tab/>
            </w:r>
            <w:r>
              <w:rPr>
                <w:spacing w:val="-8"/>
                <w:sz w:val="20"/>
              </w:rPr>
              <w:t>de </w:t>
            </w:r>
            <w:r>
              <w:rPr>
                <w:sz w:val="20"/>
              </w:rPr>
              <w:t>avance</w:t>
            </w:r>
            <w:r>
              <w:rPr>
                <w:spacing w:val="-3"/>
                <w:sz w:val="20"/>
              </w:rPr>
              <w:t> </w:t>
            </w:r>
            <w:r>
              <w:rPr>
                <w:sz w:val="20"/>
              </w:rPr>
              <w:t>anual</w:t>
            </w:r>
          </w:p>
        </w:tc>
      </w:tr>
    </w:tbl>
    <w:p>
      <w:pPr>
        <w:pStyle w:val="BodyText"/>
        <w:rPr>
          <w:rFonts w:ascii="Calibri"/>
          <w:b/>
          <w:sz w:val="20"/>
        </w:rPr>
      </w:pPr>
    </w:p>
    <w:p>
      <w:pPr>
        <w:pStyle w:val="BodyText"/>
        <w:spacing w:before="1"/>
        <w:rPr>
          <w:rFonts w:ascii="Calibri"/>
          <w:b/>
          <w:sz w:val="22"/>
        </w:rPr>
      </w:pPr>
    </w:p>
    <w:p>
      <w:pPr>
        <w:pStyle w:val="BodyText"/>
        <w:spacing w:line="276" w:lineRule="auto" w:before="1"/>
        <w:ind w:left="1082" w:right="852"/>
        <w:jc w:val="both"/>
      </w:pPr>
      <w:r>
        <w:rPr/>
        <w:t>Si bien el Plan y Programa realizado mediante la primera línea de acción orientara el desarrollo y adecuación de las currículos de las carreras actuales, de nuevas y del postgrado a los requerimientos de las diversas territorialidades y entidades gubernativas donde está presente la Nación quechua, la proyección de ellos corresponde a un alcance quinquenal y básicamente de necesidad académica, estableciendo las bases de la identidad y valor agregado diferencial que significa la formación en la Yachaylajta UNIBOL, este desarrollo académico debe corresponder con una perspectiva de mediano y largo plazo de su rol en relación a la construcción del vivir bien del Estado Plurinacional y su horizonte de cambio señalado por Ley de la Agenda Patriótica por lo menos a un decenio hasta el logro de sus objetivos al 2025 y un siguiente de consolidación sustentable de los mismos y el  posicionamiento</w:t>
      </w:r>
      <w:r>
        <w:rPr>
          <w:spacing w:val="7"/>
        </w:rPr>
        <w:t> </w:t>
      </w:r>
      <w:r>
        <w:rPr/>
        <w:t>del</w:t>
      </w:r>
      <w:r>
        <w:rPr>
          <w:spacing w:val="5"/>
        </w:rPr>
        <w:t> </w:t>
      </w:r>
      <w:r>
        <w:rPr/>
        <w:t>país</w:t>
      </w:r>
      <w:r>
        <w:rPr>
          <w:spacing w:val="8"/>
        </w:rPr>
        <w:t> </w:t>
      </w:r>
      <w:r>
        <w:rPr/>
        <w:t>en</w:t>
      </w:r>
      <w:r>
        <w:rPr>
          <w:spacing w:val="15"/>
        </w:rPr>
        <w:t> </w:t>
      </w:r>
      <w:r>
        <w:rPr/>
        <w:t>el</w:t>
      </w:r>
      <w:r>
        <w:rPr>
          <w:spacing w:val="7"/>
        </w:rPr>
        <w:t> </w:t>
      </w:r>
      <w:r>
        <w:rPr/>
        <w:t>nivel</w:t>
      </w:r>
      <w:r>
        <w:rPr>
          <w:spacing w:val="8"/>
        </w:rPr>
        <w:t> </w:t>
      </w:r>
      <w:r>
        <w:rPr/>
        <w:t>internacional</w:t>
      </w:r>
      <w:r>
        <w:rPr>
          <w:spacing w:val="7"/>
        </w:rPr>
        <w:t> </w:t>
      </w:r>
      <w:r>
        <w:rPr/>
        <w:t>como</w:t>
      </w:r>
      <w:r>
        <w:rPr>
          <w:spacing w:val="6"/>
        </w:rPr>
        <w:t> </w:t>
      </w:r>
      <w:r>
        <w:rPr/>
        <w:t>actor</w:t>
      </w:r>
      <w:r>
        <w:rPr>
          <w:spacing w:val="7"/>
        </w:rPr>
        <w:t> </w:t>
      </w:r>
      <w:r>
        <w:rPr/>
        <w:t>incidente</w:t>
      </w:r>
      <w:r>
        <w:rPr>
          <w:spacing w:val="9"/>
        </w:rPr>
        <w:t> </w:t>
      </w:r>
      <w:r>
        <w:rPr/>
        <w:t>en</w:t>
      </w:r>
      <w:r>
        <w:rPr>
          <w:spacing w:val="9"/>
        </w:rPr>
        <w:t> </w:t>
      </w:r>
      <w:r>
        <w:rPr/>
        <w:t>la</w:t>
      </w:r>
    </w:p>
    <w:p>
      <w:pPr>
        <w:spacing w:after="0" w:line="276" w:lineRule="auto"/>
        <w:jc w:val="both"/>
        <w:sectPr>
          <w:pgSz w:w="11910" w:h="16840"/>
          <w:pgMar w:header="0" w:footer="922" w:top="1360" w:bottom="1200" w:left="620" w:right="280"/>
        </w:sectPr>
      </w:pPr>
    </w:p>
    <w:p>
      <w:pPr>
        <w:pStyle w:val="BodyText"/>
        <w:spacing w:line="276" w:lineRule="auto" w:before="76"/>
        <w:ind w:left="1082" w:right="847"/>
        <w:jc w:val="both"/>
      </w:pPr>
      <w:r>
        <w:rPr/>
        <w:t>economía y la geopolítica  continental, tal cual fue a su turno el nivel de articulación  e incidencia cultural, político y particularmente tecnológico productivo que la nación quechua realizo en su forma estatal hace más de 50 años, cohesionando la diversidad plurinacional del continente, perspectiva en la cual la Yachayllajta, como ciudadela tecnológica y del saber en que confluyen las y los ajllas para generar aportes de excelencia desde y después de la permanencia en la  institución, ameritan configurar un plan para la Yachayllajta UNIBOL quechua Casimiro Huanca de 20 años que incorporando diez ciclos productivos como mínimo, permita visibilizar su aporte estratégico a la revolución tecnológico productiva y cambio de matriz productiva que viabilice consolidar la generación y disponibilidad de excedente productivo como riqueza social redistribuida entre la nación y la diversidad plurinacional de su territorialidad y el conjunto del territorio del país y con incidencia como referencia para el esto del ámbito quechua internacional, toda vez que la revitalización del sistema productivo de las territorialidades quechuas atascado durante largo tiempo por las diversas formas de estado anti campesino, anti  indígena y de permanente empobrecimiento de saberes y tecnologías, puede ser revertido en un plazo que reposicione a estas como macro espacios donde se  tienen sistemas productivos de alta diversidad y calidad, como de alta capacidad productiva en cantidad y sobre todo calidad como fueron los sistemas intensivos de producción que permitieron la construcción del estado plurinacional inca desde la centralidad del Kollasuyo andino amazónico en la última fase de reingeniería territorial productiva aplicada por dicho estado en el territorio de la actual Bolivia y desde la centralidad articuladora interecológica e intercultural de los valles, actual e histórico territorio central de la presencia quechua en el</w:t>
      </w:r>
      <w:r>
        <w:rPr>
          <w:spacing w:val="-9"/>
        </w:rPr>
        <w:t> </w:t>
      </w:r>
      <w:r>
        <w:rPr/>
        <w:t>país.</w:t>
      </w:r>
    </w:p>
    <w:p>
      <w:pPr>
        <w:pStyle w:val="BodyText"/>
        <w:spacing w:line="276" w:lineRule="auto" w:before="201"/>
        <w:ind w:left="1082" w:right="846"/>
        <w:jc w:val="both"/>
      </w:pPr>
      <w:r>
        <w:rPr/>
        <w:t>Esta perspectiva contemporánea de posicionamiento como referente central de saber y tecnología para la Yachayllajta UNIBOL reflejada en un nuevo Plan de Vida para 20 años,  será  implementada  mediante   la ejecución quinquenal y anual de los programas educativos y aplicación de resultados de la Yachayllajta Unibol quechua, estando estos articulados en cada ciclo a las coberturas y acciones territoriales estratégicas concertadas con las Organizaciones y Gobiernos de la Nación quechua para el de mediano y largo plazo de cuya acción estratégica e impacto en los sistemas productivos genere recurrentemente para la Universidad el reconocimiento de sus aportes y el requerimiento de la continuidad de su aporte, motivando resoluciones de las Organizaciones IOCs y quechuas, respaldando el aporte a su desarrollo</w:t>
      </w:r>
      <w:r>
        <w:rPr>
          <w:spacing w:val="-4"/>
        </w:rPr>
        <w:t> </w:t>
      </w:r>
      <w:r>
        <w:rPr/>
        <w:t>productivo.</w:t>
      </w:r>
    </w:p>
    <w:p>
      <w:pPr>
        <w:pStyle w:val="BodyText"/>
        <w:spacing w:line="276" w:lineRule="auto" w:before="200"/>
        <w:ind w:left="1082" w:right="856"/>
        <w:jc w:val="both"/>
      </w:pPr>
      <w:r>
        <w:rPr/>
        <w:t>Los planes quinquenales que se descuelguen del mencionado Plan de Vida  deberán cíclicamente ser objeto de Aprobación y aplicación por los órganos directivos y operativos como ratificados por el Ministerio, debiendo realizar las gestiones</w:t>
      </w:r>
      <w:r>
        <w:rPr>
          <w:spacing w:val="-1"/>
        </w:rPr>
        <w:t> </w:t>
      </w:r>
      <w:r>
        <w:rPr/>
        <w:t>necesarias.</w:t>
      </w:r>
    </w:p>
    <w:p>
      <w:pPr>
        <w:pStyle w:val="BodyText"/>
        <w:spacing w:line="276" w:lineRule="auto" w:before="202"/>
        <w:ind w:left="1082" w:right="847"/>
        <w:jc w:val="both"/>
      </w:pPr>
      <w:r>
        <w:rPr/>
        <w:t>Tanto para la verificación de los mencionados impactos como para implicar la corresponsabilidad de la realización de los logros en los territorios, durante la aplicación del presente PEI, se deberán estructurar de mecanismos de coordinación</w:t>
      </w:r>
    </w:p>
    <w:p>
      <w:pPr>
        <w:spacing w:after="0" w:line="276" w:lineRule="auto"/>
        <w:jc w:val="both"/>
        <w:sectPr>
          <w:pgSz w:w="11910" w:h="16840"/>
          <w:pgMar w:header="0" w:footer="922" w:top="1320" w:bottom="1200" w:left="620" w:right="280"/>
        </w:sectPr>
      </w:pPr>
    </w:p>
    <w:p>
      <w:pPr>
        <w:pStyle w:val="BodyText"/>
        <w:spacing w:line="276" w:lineRule="auto" w:before="76"/>
        <w:ind w:left="1082" w:right="850"/>
        <w:jc w:val="both"/>
      </w:pPr>
      <w:r>
        <w:rPr/>
        <w:t>y articulación permanente orgánica-académica-gubernativa en las territorialidades atendidas, que signifiquen aportes de contraparte sean financieras, técnicas o logísticas como de promoción, que dé condiciones de permanencia a los miembros de la UNIBOL en sus jurisdicciones, como a la vez de inserción de los aportes de investigación o diseminación de tecnología o de diagnosticas en el ámbito de sus ecosistemas o entre sus productores particularmente entre aquellos que sean organizados. Concertación del mecanismo de coordinación y la firma  y conformación paulatina de una solidad red de convenios con acuerdos específicos que pases de una relación alrededor de una tarea o tesis puntual a una relación sostenida por el desarrollo territorial y el cambio productivo de los municipios contraparte. Los Gobiernos de estos deberán comprometer la diseminación de los logros en una mayor cobertura de productores, sean agrícolas, forestales, acuicultores o múltiples para que el objeto de estos acuerdos sea procesos de desarrollo territorial de carácter</w:t>
      </w:r>
      <w:r>
        <w:rPr>
          <w:spacing w:val="-3"/>
        </w:rPr>
        <w:t> </w:t>
      </w:r>
      <w:r>
        <w:rPr/>
        <w:t>comunitario.</w:t>
      </w:r>
    </w:p>
    <w:p>
      <w:pPr>
        <w:spacing w:before="202"/>
        <w:ind w:left="165" w:right="493" w:firstLine="0"/>
        <w:jc w:val="center"/>
        <w:rPr>
          <w:rFonts w:ascii="Calibri"/>
          <w:b/>
          <w:sz w:val="20"/>
        </w:rPr>
      </w:pPr>
      <w:r>
        <w:rPr>
          <w:rFonts w:ascii="Calibri"/>
          <w:b/>
          <w:sz w:val="20"/>
        </w:rPr>
        <w:t>LINEA DE ACCION 6: GESTION DIRECTIVA - EJECUTIVA (KAMACHIY)</w:t>
      </w:r>
    </w:p>
    <w:p>
      <w:pPr>
        <w:pStyle w:val="BodyText"/>
        <w:spacing w:before="11"/>
        <w:rPr>
          <w:rFonts w:ascii="Calibri"/>
          <w:b/>
          <w:sz w:val="14"/>
        </w:rPr>
      </w:pPr>
    </w:p>
    <w:tbl>
      <w:tblPr>
        <w:tblW w:w="0" w:type="auto"/>
        <w:jc w:val="left"/>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1863"/>
        <w:gridCol w:w="1848"/>
        <w:gridCol w:w="1848"/>
        <w:gridCol w:w="1547"/>
      </w:tblGrid>
      <w:tr>
        <w:trPr>
          <w:trHeight w:val="760" w:hRule="atLeast"/>
        </w:trPr>
        <w:tc>
          <w:tcPr>
            <w:tcW w:w="2098" w:type="dxa"/>
            <w:shd w:val="clear" w:color="auto" w:fill="FFFF00"/>
          </w:tcPr>
          <w:p>
            <w:pPr>
              <w:pStyle w:val="TableParagraph"/>
              <w:spacing w:before="1"/>
              <w:ind w:left="503"/>
              <w:rPr>
                <w:b/>
                <w:sz w:val="20"/>
              </w:rPr>
            </w:pPr>
            <w:r>
              <w:rPr>
                <w:b/>
                <w:sz w:val="20"/>
              </w:rPr>
              <w:t>RESULTADOS</w:t>
            </w:r>
          </w:p>
        </w:tc>
        <w:tc>
          <w:tcPr>
            <w:tcW w:w="1863" w:type="dxa"/>
            <w:shd w:val="clear" w:color="auto" w:fill="FFFF00"/>
          </w:tcPr>
          <w:p>
            <w:pPr>
              <w:pStyle w:val="TableParagraph"/>
              <w:spacing w:line="278" w:lineRule="auto"/>
              <w:ind w:left="364" w:right="57" w:firstLine="88"/>
              <w:rPr>
                <w:b/>
                <w:sz w:val="20"/>
              </w:rPr>
            </w:pPr>
            <w:r>
              <w:rPr>
                <w:b/>
                <w:sz w:val="20"/>
              </w:rPr>
              <w:t>INDICADOR </w:t>
            </w:r>
            <w:r>
              <w:rPr>
                <w:b/>
                <w:w w:val="95"/>
                <w:sz w:val="20"/>
              </w:rPr>
              <w:t>ESTRATÉGICO</w:t>
            </w:r>
          </w:p>
        </w:tc>
        <w:tc>
          <w:tcPr>
            <w:tcW w:w="1848" w:type="dxa"/>
            <w:shd w:val="clear" w:color="auto" w:fill="FFFF00"/>
          </w:tcPr>
          <w:p>
            <w:pPr>
              <w:pStyle w:val="TableParagraph"/>
              <w:spacing w:before="1"/>
              <w:ind w:left="368"/>
              <w:rPr>
                <w:b/>
                <w:sz w:val="20"/>
              </w:rPr>
            </w:pPr>
            <w:r>
              <w:rPr>
                <w:b/>
                <w:sz w:val="20"/>
              </w:rPr>
              <w:t>ACTIVIDADES</w:t>
            </w:r>
          </w:p>
        </w:tc>
        <w:tc>
          <w:tcPr>
            <w:tcW w:w="1848" w:type="dxa"/>
            <w:shd w:val="clear" w:color="auto" w:fill="FFFF00"/>
          </w:tcPr>
          <w:p>
            <w:pPr>
              <w:pStyle w:val="TableParagraph"/>
              <w:spacing w:before="1"/>
              <w:ind w:left="282"/>
              <w:rPr>
                <w:b/>
                <w:sz w:val="20"/>
              </w:rPr>
            </w:pPr>
            <w:r>
              <w:rPr>
                <w:b/>
                <w:sz w:val="20"/>
              </w:rPr>
              <w:t>METODOLOGIA</w:t>
            </w:r>
          </w:p>
        </w:tc>
        <w:tc>
          <w:tcPr>
            <w:tcW w:w="1547" w:type="dxa"/>
            <w:shd w:val="clear" w:color="auto" w:fill="FFFF00"/>
          </w:tcPr>
          <w:p>
            <w:pPr>
              <w:pStyle w:val="TableParagraph"/>
              <w:spacing w:before="1"/>
              <w:ind w:left="201"/>
              <w:rPr>
                <w:b/>
                <w:sz w:val="20"/>
              </w:rPr>
            </w:pPr>
            <w:r>
              <w:rPr>
                <w:b/>
                <w:sz w:val="20"/>
              </w:rPr>
              <w:t>INDICADORES</w:t>
            </w:r>
          </w:p>
        </w:tc>
      </w:tr>
      <w:tr>
        <w:trPr>
          <w:trHeight w:val="1466" w:hRule="atLeast"/>
        </w:trPr>
        <w:tc>
          <w:tcPr>
            <w:tcW w:w="2098" w:type="dxa"/>
            <w:vMerge w:val="restart"/>
            <w:tcBorders>
              <w:left w:val="single" w:sz="8" w:space="0" w:color="000000"/>
            </w:tcBorders>
            <w:shd w:val="clear" w:color="auto" w:fill="FFF1CC"/>
          </w:tcPr>
          <w:p>
            <w:pPr>
              <w:pStyle w:val="TableParagraph"/>
              <w:tabs>
                <w:tab w:pos="745" w:val="left" w:leader="none"/>
                <w:tab w:pos="1528" w:val="left" w:leader="none"/>
              </w:tabs>
              <w:spacing w:line="243" w:lineRule="exact"/>
              <w:ind w:left="69"/>
              <w:rPr>
                <w:sz w:val="20"/>
              </w:rPr>
            </w:pPr>
            <w:r>
              <w:rPr>
                <w:sz w:val="20"/>
              </w:rPr>
              <w:t>6.</w:t>
              <w:tab/>
              <w:t>Las</w:t>
              <w:tab/>
              <w:t>juntas</w:t>
            </w:r>
          </w:p>
          <w:p>
            <w:pPr>
              <w:pStyle w:val="TableParagraph"/>
              <w:tabs>
                <w:tab w:pos="956" w:val="left" w:leader="none"/>
                <w:tab w:pos="1200" w:val="left" w:leader="none"/>
                <w:tab w:pos="1295" w:val="left" w:leader="none"/>
                <w:tab w:pos="1343" w:val="left" w:leader="none"/>
                <w:tab w:pos="1429" w:val="left" w:leader="none"/>
                <w:tab w:pos="1795" w:val="left" w:leader="none"/>
                <w:tab w:pos="1936" w:val="left" w:leader="none"/>
              </w:tabs>
              <w:ind w:left="69" w:right="54"/>
              <w:rPr>
                <w:sz w:val="20"/>
              </w:rPr>
            </w:pPr>
            <w:r>
              <w:rPr>
                <w:sz w:val="20"/>
              </w:rPr>
              <w:t>comunitaria</w:t>
              <w:tab/>
              <w:tab/>
              <w:tab/>
              <w:tab/>
              <w:tab/>
              <w:tab/>
            </w:r>
            <w:r>
              <w:rPr>
                <w:spacing w:val="-18"/>
                <w:sz w:val="20"/>
              </w:rPr>
              <w:t>y </w:t>
            </w:r>
            <w:r>
              <w:rPr>
                <w:sz w:val="20"/>
              </w:rPr>
              <w:t>académica así como la instancia ejecutiva de la Yachayllajta</w:t>
              <w:tab/>
              <w:tab/>
              <w:tab/>
            </w:r>
            <w:r>
              <w:rPr>
                <w:spacing w:val="-3"/>
                <w:sz w:val="20"/>
              </w:rPr>
              <w:t>UNIBOL, </w:t>
            </w:r>
            <w:r>
              <w:rPr>
                <w:sz w:val="20"/>
              </w:rPr>
              <w:t>conducen recurrentemente</w:t>
              <w:tab/>
            </w:r>
            <w:r>
              <w:rPr>
                <w:spacing w:val="-8"/>
                <w:sz w:val="20"/>
              </w:rPr>
              <w:t>un </w:t>
            </w:r>
            <w:r>
              <w:rPr>
                <w:sz w:val="20"/>
              </w:rPr>
              <w:t>sistema</w:t>
              <w:tab/>
              <w:t>de</w:t>
              <w:tab/>
              <w:tab/>
              <w:tab/>
              <w:tab/>
            </w:r>
            <w:r>
              <w:rPr>
                <w:spacing w:val="-3"/>
                <w:sz w:val="20"/>
              </w:rPr>
              <w:t>gestión </w:t>
            </w:r>
            <w:r>
              <w:rPr>
                <w:sz w:val="20"/>
              </w:rPr>
              <w:t>académica</w:t>
              <w:tab/>
              <w:tab/>
              <w:tab/>
              <w:t>fluida </w:t>
            </w:r>
            <w:r>
              <w:rPr>
                <w:spacing w:val="-12"/>
                <w:sz w:val="20"/>
              </w:rPr>
              <w:t>y </w:t>
            </w:r>
            <w:r>
              <w:rPr>
                <w:sz w:val="20"/>
              </w:rPr>
              <w:t>oportuna,</w:t>
              <w:tab/>
              <w:tab/>
              <w:t>capaz </w:t>
            </w:r>
            <w:r>
              <w:rPr>
                <w:spacing w:val="-8"/>
                <w:sz w:val="20"/>
              </w:rPr>
              <w:t>de </w:t>
            </w:r>
            <w:r>
              <w:rPr>
                <w:sz w:val="20"/>
              </w:rPr>
              <w:t>responder</w:t>
              <w:tab/>
              <w:tab/>
              <w:tab/>
              <w:t>a</w:t>
              <w:tab/>
              <w:tab/>
            </w:r>
            <w:r>
              <w:rPr>
                <w:spacing w:val="-5"/>
                <w:sz w:val="20"/>
              </w:rPr>
              <w:t>los</w:t>
            </w:r>
          </w:p>
          <w:p>
            <w:pPr>
              <w:pStyle w:val="TableParagraph"/>
              <w:ind w:left="69" w:right="55"/>
              <w:jc w:val="both"/>
              <w:rPr>
                <w:sz w:val="20"/>
              </w:rPr>
            </w:pPr>
            <w:r>
              <w:rPr>
                <w:sz w:val="20"/>
              </w:rPr>
              <w:t>requerimientos del proceso educativo, la sociedad y el Estado</w:t>
            </w:r>
          </w:p>
        </w:tc>
        <w:tc>
          <w:tcPr>
            <w:tcW w:w="1863" w:type="dxa"/>
            <w:vMerge w:val="restart"/>
            <w:shd w:val="clear" w:color="auto" w:fill="FFF1CC"/>
          </w:tcPr>
          <w:p>
            <w:pPr>
              <w:pStyle w:val="TableParagraph"/>
              <w:ind w:left="74" w:right="58"/>
              <w:jc w:val="both"/>
              <w:rPr>
                <w:sz w:val="20"/>
              </w:rPr>
            </w:pPr>
            <w:r>
              <w:rPr>
                <w:sz w:val="20"/>
              </w:rPr>
              <w:t>Sistema de gestión directiva y ejecutiva respondiendo</w:t>
            </w:r>
          </w:p>
          <w:p>
            <w:pPr>
              <w:pStyle w:val="TableParagraph"/>
              <w:ind w:left="74" w:right="55"/>
              <w:jc w:val="both"/>
              <w:rPr>
                <w:sz w:val="20"/>
              </w:rPr>
            </w:pPr>
            <w:r>
              <w:rPr>
                <w:sz w:val="20"/>
              </w:rPr>
              <w:t>dentro el plazo de su período anual, a por lo menos el 90 % de su agenda de trabajo del periodo</w:t>
            </w:r>
          </w:p>
        </w:tc>
        <w:tc>
          <w:tcPr>
            <w:tcW w:w="1848" w:type="dxa"/>
            <w:shd w:val="clear" w:color="auto" w:fill="FFF1CC"/>
          </w:tcPr>
          <w:p>
            <w:pPr>
              <w:pStyle w:val="TableParagraph"/>
              <w:tabs>
                <w:tab w:pos="1572" w:val="left" w:leader="none"/>
              </w:tabs>
              <w:ind w:left="73" w:right="55"/>
              <w:jc w:val="both"/>
              <w:rPr>
                <w:sz w:val="20"/>
              </w:rPr>
            </w:pPr>
            <w:r>
              <w:rPr>
                <w:sz w:val="20"/>
              </w:rPr>
              <w:t>21. Diseñado y aprobado</w:t>
              <w:tab/>
            </w:r>
            <w:r>
              <w:rPr>
                <w:spacing w:val="-10"/>
                <w:sz w:val="20"/>
              </w:rPr>
              <w:t>un </w:t>
            </w:r>
            <w:r>
              <w:rPr>
                <w:sz w:val="20"/>
              </w:rPr>
              <w:t>sistema de gestión y directiva para el régimen internado</w:t>
            </w:r>
            <w:r>
              <w:rPr>
                <w:spacing w:val="3"/>
                <w:sz w:val="20"/>
              </w:rPr>
              <w:t> </w:t>
            </w:r>
            <w:r>
              <w:rPr>
                <w:spacing w:val="-11"/>
                <w:sz w:val="20"/>
              </w:rPr>
              <w:t>y</w:t>
            </w:r>
          </w:p>
          <w:p>
            <w:pPr>
              <w:pStyle w:val="TableParagraph"/>
              <w:spacing w:line="225" w:lineRule="exact"/>
              <w:ind w:left="73"/>
              <w:rPr>
                <w:sz w:val="20"/>
              </w:rPr>
            </w:pPr>
            <w:r>
              <w:rPr>
                <w:sz w:val="20"/>
              </w:rPr>
              <w:t>territorial.</w:t>
            </w:r>
          </w:p>
        </w:tc>
        <w:tc>
          <w:tcPr>
            <w:tcW w:w="1848" w:type="dxa"/>
            <w:shd w:val="clear" w:color="auto" w:fill="FFF1CC"/>
          </w:tcPr>
          <w:p>
            <w:pPr>
              <w:pStyle w:val="TableParagraph"/>
              <w:tabs>
                <w:tab w:pos="1412" w:val="left" w:leader="none"/>
                <w:tab w:pos="1688" w:val="left" w:leader="none"/>
              </w:tabs>
              <w:ind w:left="74" w:right="56"/>
              <w:jc w:val="both"/>
              <w:rPr>
                <w:sz w:val="20"/>
              </w:rPr>
            </w:pPr>
            <w:r>
              <w:rPr>
                <w:sz w:val="20"/>
              </w:rPr>
              <w:t>Sesiones de </w:t>
            </w:r>
            <w:r>
              <w:rPr>
                <w:spacing w:val="-4"/>
                <w:sz w:val="20"/>
              </w:rPr>
              <w:t>las </w:t>
            </w:r>
            <w:r>
              <w:rPr>
                <w:sz w:val="20"/>
              </w:rPr>
              <w:t>Juntas</w:t>
              <w:tab/>
            </w:r>
            <w:r>
              <w:rPr>
                <w:spacing w:val="-4"/>
                <w:sz w:val="20"/>
              </w:rPr>
              <w:t>para </w:t>
            </w:r>
            <w:r>
              <w:rPr>
                <w:sz w:val="20"/>
              </w:rPr>
              <w:t>consideración</w:t>
              <w:tab/>
              <w:tab/>
            </w:r>
            <w:r>
              <w:rPr>
                <w:spacing w:val="-17"/>
                <w:sz w:val="20"/>
              </w:rPr>
              <w:t>y </w:t>
            </w:r>
            <w:r>
              <w:rPr>
                <w:sz w:val="20"/>
              </w:rPr>
              <w:t>aprobación</w:t>
            </w:r>
          </w:p>
        </w:tc>
        <w:tc>
          <w:tcPr>
            <w:tcW w:w="1547" w:type="dxa"/>
            <w:shd w:val="clear" w:color="auto" w:fill="FFF1CC"/>
          </w:tcPr>
          <w:p>
            <w:pPr>
              <w:pStyle w:val="TableParagraph"/>
              <w:tabs>
                <w:tab w:pos="1187" w:val="left" w:leader="none"/>
              </w:tabs>
              <w:ind w:left="74" w:right="53"/>
              <w:rPr>
                <w:sz w:val="20"/>
              </w:rPr>
            </w:pPr>
            <w:r>
              <w:rPr>
                <w:sz w:val="20"/>
              </w:rPr>
              <w:t>Sistema</w:t>
              <w:tab/>
            </w:r>
            <w:r>
              <w:rPr>
                <w:spacing w:val="-6"/>
                <w:sz w:val="20"/>
              </w:rPr>
              <w:t>con </w:t>
            </w:r>
            <w:r>
              <w:rPr>
                <w:sz w:val="20"/>
              </w:rPr>
              <w:t>reglamento aplicado anualmente</w:t>
            </w:r>
          </w:p>
        </w:tc>
      </w:tr>
      <w:tr>
        <w:trPr>
          <w:trHeight w:val="1708" w:hRule="atLeast"/>
        </w:trPr>
        <w:tc>
          <w:tcPr>
            <w:tcW w:w="2098" w:type="dxa"/>
            <w:vMerge/>
            <w:tcBorders>
              <w:top w:val="nil"/>
              <w:left w:val="single" w:sz="8" w:space="0" w:color="000000"/>
            </w:tcBorders>
            <w:shd w:val="clear" w:color="auto" w:fill="FFF1CC"/>
          </w:tcPr>
          <w:p>
            <w:pPr>
              <w:rPr>
                <w:sz w:val="2"/>
                <w:szCs w:val="2"/>
              </w:rPr>
            </w:pPr>
          </w:p>
        </w:tc>
        <w:tc>
          <w:tcPr>
            <w:tcW w:w="1863" w:type="dxa"/>
            <w:vMerge/>
            <w:tcBorders>
              <w:top w:val="nil"/>
            </w:tcBorders>
            <w:shd w:val="clear" w:color="auto" w:fill="FFF1CC"/>
          </w:tcPr>
          <w:p>
            <w:pPr>
              <w:rPr>
                <w:sz w:val="2"/>
                <w:szCs w:val="2"/>
              </w:rPr>
            </w:pPr>
          </w:p>
        </w:tc>
        <w:tc>
          <w:tcPr>
            <w:tcW w:w="1848" w:type="dxa"/>
            <w:shd w:val="clear" w:color="auto" w:fill="FFF1CC"/>
          </w:tcPr>
          <w:p>
            <w:pPr>
              <w:pStyle w:val="TableParagraph"/>
              <w:tabs>
                <w:tab w:pos="654" w:val="left" w:leader="none"/>
                <w:tab w:pos="1090" w:val="left" w:leader="none"/>
                <w:tab w:pos="1558" w:val="left" w:leader="none"/>
                <w:tab w:pos="1688" w:val="left" w:leader="none"/>
              </w:tabs>
              <w:ind w:left="73" w:right="56"/>
              <w:rPr>
                <w:sz w:val="20"/>
              </w:rPr>
            </w:pPr>
            <w:r>
              <w:rPr>
                <w:sz w:val="20"/>
              </w:rPr>
              <w:t>22.</w:t>
              <w:tab/>
              <w:t>Sesiones</w:t>
              <w:tab/>
              <w:tab/>
            </w:r>
            <w:r>
              <w:rPr>
                <w:spacing w:val="-17"/>
                <w:sz w:val="20"/>
              </w:rPr>
              <w:t>y </w:t>
            </w:r>
            <w:r>
              <w:rPr>
                <w:sz w:val="20"/>
              </w:rPr>
              <w:t>decisiones periódicas</w:t>
              <w:tab/>
              <w:tab/>
              <w:tab/>
            </w:r>
            <w:r>
              <w:rPr>
                <w:spacing w:val="-17"/>
                <w:sz w:val="20"/>
              </w:rPr>
              <w:t>y </w:t>
            </w:r>
            <w:r>
              <w:rPr>
                <w:sz w:val="20"/>
              </w:rPr>
              <w:t>regulares</w:t>
              <w:tab/>
              <w:t>de</w:t>
              <w:tab/>
            </w:r>
            <w:r>
              <w:rPr>
                <w:spacing w:val="-6"/>
                <w:sz w:val="20"/>
              </w:rPr>
              <w:t>las </w:t>
            </w:r>
            <w:r>
              <w:rPr>
                <w:sz w:val="20"/>
              </w:rPr>
              <w:t>instancias directiva y ejecutiva</w:t>
            </w:r>
          </w:p>
          <w:p>
            <w:pPr>
              <w:pStyle w:val="TableParagraph"/>
              <w:spacing w:line="225" w:lineRule="exact"/>
              <w:ind w:left="73"/>
              <w:rPr>
                <w:sz w:val="20"/>
              </w:rPr>
            </w:pPr>
            <w:r>
              <w:rPr>
                <w:sz w:val="20"/>
              </w:rPr>
              <w:t>establecidas</w:t>
            </w:r>
          </w:p>
        </w:tc>
        <w:tc>
          <w:tcPr>
            <w:tcW w:w="1848" w:type="dxa"/>
            <w:shd w:val="clear" w:color="auto" w:fill="FFF1CC"/>
          </w:tcPr>
          <w:p>
            <w:pPr>
              <w:pStyle w:val="TableParagraph"/>
              <w:tabs>
                <w:tab w:pos="1574" w:val="left" w:leader="none"/>
              </w:tabs>
              <w:ind w:left="74" w:right="57"/>
              <w:jc w:val="both"/>
              <w:rPr>
                <w:sz w:val="20"/>
              </w:rPr>
            </w:pPr>
            <w:r>
              <w:rPr>
                <w:sz w:val="20"/>
              </w:rPr>
              <w:t>Periodicidad </w:t>
            </w:r>
            <w:r>
              <w:rPr>
                <w:spacing w:val="-5"/>
                <w:sz w:val="20"/>
              </w:rPr>
              <w:t>con </w:t>
            </w:r>
            <w:r>
              <w:rPr>
                <w:sz w:val="20"/>
              </w:rPr>
              <w:t>participación </w:t>
            </w:r>
            <w:r>
              <w:rPr>
                <w:spacing w:val="-4"/>
                <w:sz w:val="20"/>
              </w:rPr>
              <w:t>plena </w:t>
            </w:r>
            <w:r>
              <w:rPr>
                <w:sz w:val="20"/>
              </w:rPr>
              <w:t>de miembros </w:t>
            </w:r>
            <w:r>
              <w:rPr>
                <w:spacing w:val="-14"/>
                <w:sz w:val="20"/>
              </w:rPr>
              <w:t>y </w:t>
            </w:r>
            <w:r>
              <w:rPr>
                <w:sz w:val="20"/>
              </w:rPr>
              <w:t>circulación</w:t>
              <w:tab/>
            </w:r>
            <w:r>
              <w:rPr>
                <w:spacing w:val="-9"/>
                <w:sz w:val="20"/>
              </w:rPr>
              <w:t>de </w:t>
            </w:r>
            <w:r>
              <w:rPr>
                <w:sz w:val="20"/>
              </w:rPr>
              <w:t>información ex </w:t>
            </w:r>
            <w:r>
              <w:rPr>
                <w:spacing w:val="-3"/>
                <w:sz w:val="20"/>
              </w:rPr>
              <w:t>ante </w:t>
            </w:r>
            <w:r>
              <w:rPr>
                <w:sz w:val="20"/>
              </w:rPr>
              <w:t>y post de</w:t>
            </w:r>
            <w:r>
              <w:rPr>
                <w:spacing w:val="-4"/>
                <w:sz w:val="20"/>
              </w:rPr>
              <w:t> </w:t>
            </w:r>
            <w:r>
              <w:rPr>
                <w:sz w:val="20"/>
              </w:rPr>
              <w:t>sesiones</w:t>
            </w:r>
          </w:p>
        </w:tc>
        <w:tc>
          <w:tcPr>
            <w:tcW w:w="1547" w:type="dxa"/>
            <w:shd w:val="clear" w:color="auto" w:fill="FFF1CC"/>
          </w:tcPr>
          <w:p>
            <w:pPr>
              <w:pStyle w:val="TableParagraph"/>
              <w:tabs>
                <w:tab w:pos="1392" w:val="left" w:leader="none"/>
              </w:tabs>
              <w:ind w:left="74" w:right="52"/>
              <w:rPr>
                <w:sz w:val="20"/>
              </w:rPr>
            </w:pPr>
            <w:r>
              <w:rPr>
                <w:sz w:val="20"/>
              </w:rPr>
              <w:t>Actas, convocatorias </w:t>
            </w:r>
            <w:r>
              <w:rPr>
                <w:spacing w:val="-13"/>
                <w:sz w:val="20"/>
              </w:rPr>
              <w:t>y </w:t>
            </w:r>
            <w:r>
              <w:rPr>
                <w:sz w:val="20"/>
              </w:rPr>
              <w:t>resoluciones realizadas</w:t>
              <w:tab/>
            </w:r>
            <w:r>
              <w:rPr>
                <w:spacing w:val="-18"/>
                <w:sz w:val="20"/>
              </w:rPr>
              <w:t>y </w:t>
            </w:r>
            <w:r>
              <w:rPr>
                <w:sz w:val="20"/>
              </w:rPr>
              <w:t>ejecutadas</w:t>
            </w:r>
          </w:p>
        </w:tc>
      </w:tr>
      <w:tr>
        <w:trPr>
          <w:trHeight w:val="1545" w:hRule="atLeast"/>
        </w:trPr>
        <w:tc>
          <w:tcPr>
            <w:tcW w:w="2098" w:type="dxa"/>
            <w:vMerge/>
            <w:tcBorders>
              <w:top w:val="nil"/>
              <w:left w:val="single" w:sz="8" w:space="0" w:color="000000"/>
            </w:tcBorders>
            <w:shd w:val="clear" w:color="auto" w:fill="FFF1CC"/>
          </w:tcPr>
          <w:p>
            <w:pPr>
              <w:rPr>
                <w:sz w:val="2"/>
                <w:szCs w:val="2"/>
              </w:rPr>
            </w:pPr>
          </w:p>
        </w:tc>
        <w:tc>
          <w:tcPr>
            <w:tcW w:w="1863" w:type="dxa"/>
            <w:vMerge/>
            <w:tcBorders>
              <w:top w:val="nil"/>
            </w:tcBorders>
            <w:shd w:val="clear" w:color="auto" w:fill="FFF1CC"/>
          </w:tcPr>
          <w:p>
            <w:pPr>
              <w:rPr>
                <w:sz w:val="2"/>
                <w:szCs w:val="2"/>
              </w:rPr>
            </w:pPr>
          </w:p>
        </w:tc>
        <w:tc>
          <w:tcPr>
            <w:tcW w:w="1848" w:type="dxa"/>
            <w:shd w:val="clear" w:color="auto" w:fill="FFF1CC"/>
          </w:tcPr>
          <w:p>
            <w:pPr>
              <w:pStyle w:val="TableParagraph"/>
              <w:tabs>
                <w:tab w:pos="920" w:val="left" w:leader="none"/>
                <w:tab w:pos="1470" w:val="left" w:leader="none"/>
              </w:tabs>
              <w:ind w:left="73" w:right="55"/>
              <w:jc w:val="both"/>
              <w:rPr>
                <w:sz w:val="20"/>
              </w:rPr>
            </w:pPr>
            <w:r>
              <w:rPr>
                <w:sz w:val="20"/>
              </w:rPr>
              <w:t>23.</w:t>
              <w:tab/>
            </w:r>
            <w:r>
              <w:rPr>
                <w:spacing w:val="-3"/>
                <w:sz w:val="20"/>
              </w:rPr>
              <w:t>Encaminar </w:t>
            </w:r>
            <w:r>
              <w:rPr>
                <w:sz w:val="20"/>
              </w:rPr>
              <w:t>propuesta de Ley marco</w:t>
              <w:tab/>
              <w:tab/>
            </w:r>
            <w:r>
              <w:rPr>
                <w:spacing w:val="-6"/>
                <w:sz w:val="20"/>
              </w:rPr>
              <w:t>que</w:t>
            </w:r>
          </w:p>
          <w:p>
            <w:pPr>
              <w:pStyle w:val="TableParagraph"/>
              <w:tabs>
                <w:tab w:pos="753" w:val="left" w:leader="none"/>
                <w:tab w:pos="1573" w:val="left" w:leader="none"/>
              </w:tabs>
              <w:ind w:left="73" w:right="57"/>
              <w:rPr>
                <w:sz w:val="20"/>
              </w:rPr>
            </w:pPr>
            <w:r>
              <w:rPr>
                <w:sz w:val="20"/>
              </w:rPr>
              <w:t>institucionalice como</w:t>
              <w:tab/>
              <w:t>política</w:t>
              <w:tab/>
            </w:r>
            <w:r>
              <w:rPr>
                <w:spacing w:val="-8"/>
                <w:sz w:val="20"/>
              </w:rPr>
              <w:t>de </w:t>
            </w:r>
            <w:r>
              <w:rPr>
                <w:sz w:val="20"/>
              </w:rPr>
              <w:t>Estado la</w:t>
            </w:r>
            <w:r>
              <w:rPr>
                <w:spacing w:val="-2"/>
                <w:sz w:val="20"/>
              </w:rPr>
              <w:t> </w:t>
            </w:r>
            <w:r>
              <w:rPr>
                <w:sz w:val="20"/>
              </w:rPr>
              <w:t>UNIBOL.</w:t>
            </w:r>
          </w:p>
        </w:tc>
        <w:tc>
          <w:tcPr>
            <w:tcW w:w="1848" w:type="dxa"/>
            <w:shd w:val="clear" w:color="auto" w:fill="FFF1CC"/>
          </w:tcPr>
          <w:p>
            <w:pPr>
              <w:pStyle w:val="TableParagraph"/>
              <w:ind w:left="74" w:right="55"/>
              <w:jc w:val="both"/>
              <w:rPr>
                <w:sz w:val="20"/>
              </w:rPr>
            </w:pPr>
            <w:r>
              <w:rPr>
                <w:sz w:val="20"/>
              </w:rPr>
              <w:t>Generar procesos internos de consulta y externos de apoyo en decisores para acción conjunta</w:t>
            </w:r>
          </w:p>
        </w:tc>
        <w:tc>
          <w:tcPr>
            <w:tcW w:w="1547" w:type="dxa"/>
            <w:shd w:val="clear" w:color="auto" w:fill="FFF1CC"/>
          </w:tcPr>
          <w:p>
            <w:pPr>
              <w:pStyle w:val="TableParagraph"/>
              <w:tabs>
                <w:tab w:pos="1202" w:val="left" w:leader="none"/>
              </w:tabs>
              <w:ind w:left="74" w:right="52"/>
              <w:rPr>
                <w:sz w:val="20"/>
              </w:rPr>
            </w:pPr>
            <w:r>
              <w:rPr>
                <w:sz w:val="20"/>
              </w:rPr>
              <w:t>Proyecto de </w:t>
            </w:r>
            <w:r>
              <w:rPr>
                <w:spacing w:val="-5"/>
                <w:sz w:val="20"/>
              </w:rPr>
              <w:t>ley </w:t>
            </w:r>
            <w:r>
              <w:rPr>
                <w:sz w:val="20"/>
              </w:rPr>
              <w:t>asumido</w:t>
              <w:tab/>
            </w:r>
            <w:r>
              <w:rPr>
                <w:spacing w:val="-6"/>
                <w:sz w:val="20"/>
              </w:rPr>
              <w:t>por</w:t>
            </w:r>
          </w:p>
          <w:p>
            <w:pPr>
              <w:pStyle w:val="TableParagraph"/>
              <w:tabs>
                <w:tab w:pos="1277" w:val="left" w:leader="none"/>
              </w:tabs>
              <w:ind w:left="74" w:right="52"/>
              <w:rPr>
                <w:sz w:val="20"/>
              </w:rPr>
            </w:pPr>
            <w:r>
              <w:rPr>
                <w:sz w:val="20"/>
              </w:rPr>
              <w:t>mayoría</w:t>
              <w:tab/>
            </w:r>
            <w:r>
              <w:rPr>
                <w:spacing w:val="-9"/>
                <w:sz w:val="20"/>
              </w:rPr>
              <w:t>de </w:t>
            </w:r>
            <w:r>
              <w:rPr>
                <w:sz w:val="20"/>
              </w:rPr>
              <w:t>legisladores</w:t>
              <w:tab/>
            </w:r>
            <w:r>
              <w:rPr>
                <w:spacing w:val="-9"/>
                <w:sz w:val="20"/>
              </w:rPr>
              <w:t>de </w:t>
            </w:r>
            <w:r>
              <w:rPr>
                <w:sz w:val="20"/>
              </w:rPr>
              <w:t>Asamblea Plurinacional</w:t>
            </w:r>
          </w:p>
        </w:tc>
      </w:tr>
      <w:tr>
        <w:trPr>
          <w:trHeight w:val="1953" w:hRule="atLeast"/>
        </w:trPr>
        <w:tc>
          <w:tcPr>
            <w:tcW w:w="2098" w:type="dxa"/>
            <w:vMerge/>
            <w:tcBorders>
              <w:top w:val="nil"/>
              <w:left w:val="single" w:sz="8" w:space="0" w:color="000000"/>
            </w:tcBorders>
            <w:shd w:val="clear" w:color="auto" w:fill="FFF1CC"/>
          </w:tcPr>
          <w:p>
            <w:pPr>
              <w:rPr>
                <w:sz w:val="2"/>
                <w:szCs w:val="2"/>
              </w:rPr>
            </w:pPr>
          </w:p>
        </w:tc>
        <w:tc>
          <w:tcPr>
            <w:tcW w:w="1863" w:type="dxa"/>
            <w:vMerge/>
            <w:tcBorders>
              <w:top w:val="nil"/>
            </w:tcBorders>
            <w:shd w:val="clear" w:color="auto" w:fill="FFF1CC"/>
          </w:tcPr>
          <w:p>
            <w:pPr>
              <w:rPr>
                <w:sz w:val="2"/>
                <w:szCs w:val="2"/>
              </w:rPr>
            </w:pPr>
          </w:p>
        </w:tc>
        <w:tc>
          <w:tcPr>
            <w:tcW w:w="1848" w:type="dxa"/>
            <w:shd w:val="clear" w:color="auto" w:fill="FFF1CC"/>
          </w:tcPr>
          <w:p>
            <w:pPr>
              <w:pStyle w:val="TableParagraph"/>
              <w:tabs>
                <w:tab w:pos="611" w:val="left" w:leader="none"/>
                <w:tab w:pos="646" w:val="left" w:leader="none"/>
                <w:tab w:pos="958" w:val="left" w:leader="none"/>
                <w:tab w:pos="1308" w:val="left" w:leader="none"/>
                <w:tab w:pos="1557" w:val="left" w:leader="none"/>
                <w:tab w:pos="1639" w:val="left" w:leader="none"/>
                <w:tab w:pos="1687" w:val="left" w:leader="none"/>
              </w:tabs>
              <w:ind w:left="73" w:right="55"/>
              <w:rPr>
                <w:sz w:val="20"/>
              </w:rPr>
            </w:pPr>
            <w:r>
              <w:rPr>
                <w:sz w:val="20"/>
              </w:rPr>
              <w:t>24.</w:t>
              <w:tab/>
              <w:t>Gestionar</w:t>
              <w:tab/>
              <w:tab/>
              <w:tab/>
            </w:r>
            <w:r>
              <w:rPr>
                <w:spacing w:val="-15"/>
                <w:sz w:val="20"/>
              </w:rPr>
              <w:t>y </w:t>
            </w:r>
            <w:r>
              <w:rPr>
                <w:sz w:val="20"/>
              </w:rPr>
              <w:t>firmar</w:t>
              <w:tab/>
              <w:tab/>
              <w:tab/>
            </w:r>
            <w:r>
              <w:rPr>
                <w:w w:val="95"/>
                <w:sz w:val="20"/>
              </w:rPr>
              <w:t>convenios </w:t>
            </w:r>
            <w:r>
              <w:rPr>
                <w:sz w:val="20"/>
              </w:rPr>
              <w:t>interinstitucionales que</w:t>
              <w:tab/>
              <w:tab/>
              <w:t>faciliten</w:t>
              <w:tab/>
              <w:tab/>
            </w:r>
            <w:r>
              <w:rPr>
                <w:spacing w:val="-5"/>
                <w:sz w:val="20"/>
              </w:rPr>
              <w:t>las </w:t>
            </w:r>
            <w:r>
              <w:rPr>
                <w:sz w:val="20"/>
              </w:rPr>
              <w:t>acciones proyectadas</w:t>
              <w:tab/>
              <w:t>y</w:t>
              <w:tab/>
              <w:tab/>
            </w:r>
            <w:r>
              <w:rPr>
                <w:spacing w:val="-9"/>
                <w:sz w:val="20"/>
              </w:rPr>
              <w:t>la </w:t>
            </w:r>
            <w:r>
              <w:rPr>
                <w:sz w:val="20"/>
              </w:rPr>
              <w:t>captación</w:t>
              <w:tab/>
              <w:tab/>
              <w:tab/>
            </w:r>
            <w:r>
              <w:rPr>
                <w:spacing w:val="-8"/>
                <w:sz w:val="20"/>
              </w:rPr>
              <w:t>de</w:t>
            </w:r>
          </w:p>
          <w:p>
            <w:pPr>
              <w:pStyle w:val="TableParagraph"/>
              <w:spacing w:line="225" w:lineRule="exact"/>
              <w:ind w:left="73"/>
              <w:rPr>
                <w:sz w:val="20"/>
              </w:rPr>
            </w:pPr>
            <w:r>
              <w:rPr>
                <w:sz w:val="20"/>
              </w:rPr>
              <w:t>recursos</w:t>
            </w:r>
          </w:p>
        </w:tc>
        <w:tc>
          <w:tcPr>
            <w:tcW w:w="1848" w:type="dxa"/>
            <w:shd w:val="clear" w:color="auto" w:fill="FFF1CC"/>
          </w:tcPr>
          <w:p>
            <w:pPr>
              <w:pStyle w:val="TableParagraph"/>
              <w:tabs>
                <w:tab w:pos="978" w:val="left" w:leader="none"/>
                <w:tab w:pos="1573" w:val="left" w:leader="none"/>
              </w:tabs>
              <w:ind w:left="74" w:right="55"/>
              <w:jc w:val="both"/>
              <w:rPr>
                <w:sz w:val="20"/>
              </w:rPr>
            </w:pPr>
            <w:r>
              <w:rPr>
                <w:sz w:val="20"/>
              </w:rPr>
              <w:t>Gestiones</w:t>
              <w:tab/>
              <w:tab/>
            </w:r>
            <w:r>
              <w:rPr>
                <w:spacing w:val="-7"/>
                <w:sz w:val="20"/>
              </w:rPr>
              <w:t>de </w:t>
            </w:r>
            <w:r>
              <w:rPr>
                <w:sz w:val="20"/>
              </w:rPr>
              <w:t>autoridades en </w:t>
            </w:r>
            <w:r>
              <w:rPr>
                <w:spacing w:val="-5"/>
                <w:sz w:val="20"/>
              </w:rPr>
              <w:t>los </w:t>
            </w:r>
            <w:r>
              <w:rPr>
                <w:sz w:val="20"/>
              </w:rPr>
              <w:t>diversos territorios y con</w:t>
              <w:tab/>
            </w:r>
            <w:r>
              <w:rPr>
                <w:spacing w:val="-2"/>
                <w:sz w:val="20"/>
              </w:rPr>
              <w:t>entidades </w:t>
            </w:r>
            <w:r>
              <w:rPr>
                <w:sz w:val="20"/>
              </w:rPr>
              <w:t>contraparte</w:t>
            </w:r>
          </w:p>
        </w:tc>
        <w:tc>
          <w:tcPr>
            <w:tcW w:w="1547" w:type="dxa"/>
            <w:shd w:val="clear" w:color="auto" w:fill="FFF1CC"/>
          </w:tcPr>
          <w:p>
            <w:pPr>
              <w:pStyle w:val="TableParagraph"/>
              <w:ind w:left="74" w:right="51"/>
              <w:jc w:val="both"/>
              <w:rPr>
                <w:sz w:val="20"/>
              </w:rPr>
            </w:pPr>
            <w:r>
              <w:rPr>
                <w:sz w:val="20"/>
              </w:rPr>
              <w:t>Por lo menos </w:t>
            </w:r>
            <w:r>
              <w:rPr>
                <w:spacing w:val="-14"/>
                <w:sz w:val="20"/>
              </w:rPr>
              <w:t>5 </w:t>
            </w:r>
            <w:r>
              <w:rPr>
                <w:sz w:val="20"/>
              </w:rPr>
              <w:t>Convenios año en</w:t>
            </w:r>
            <w:r>
              <w:rPr>
                <w:spacing w:val="-1"/>
                <w:sz w:val="20"/>
              </w:rPr>
              <w:t> </w:t>
            </w:r>
            <w:r>
              <w:rPr>
                <w:sz w:val="20"/>
              </w:rPr>
              <w:t>ejecución</w:t>
            </w:r>
          </w:p>
        </w:tc>
      </w:tr>
    </w:tbl>
    <w:p>
      <w:pPr>
        <w:pStyle w:val="BodyText"/>
        <w:rPr>
          <w:rFonts w:ascii="Calibri"/>
          <w:b/>
          <w:sz w:val="20"/>
        </w:rPr>
      </w:pPr>
    </w:p>
    <w:p>
      <w:pPr>
        <w:pStyle w:val="BodyText"/>
        <w:spacing w:line="259" w:lineRule="auto" w:before="179"/>
        <w:ind w:left="1082" w:right="857"/>
        <w:jc w:val="both"/>
      </w:pPr>
      <w:r>
        <w:rPr/>
        <w:t>Logrado el dotarse de un plan de vida, un sistema de valoración de sus impactos in situ y una red de relaciones de contraparte de su aporte académico, requiere una sólida y dinámica capacidad de gestión y dirección ejecutiva , para lo cual las</w:t>
      </w:r>
    </w:p>
    <w:p>
      <w:pPr>
        <w:spacing w:after="0" w:line="259" w:lineRule="auto"/>
        <w:jc w:val="both"/>
        <w:sectPr>
          <w:pgSz w:w="11910" w:h="16840"/>
          <w:pgMar w:header="0" w:footer="922" w:top="1320" w:bottom="1200" w:left="620" w:right="280"/>
        </w:sectPr>
      </w:pPr>
    </w:p>
    <w:p>
      <w:pPr>
        <w:pStyle w:val="BodyText"/>
        <w:spacing w:line="259" w:lineRule="auto" w:before="76"/>
        <w:ind w:left="1082" w:right="851"/>
        <w:jc w:val="both"/>
      </w:pPr>
      <w:r>
        <w:rPr/>
        <w:t>juntas comunitaria y académica así como la instancia ejecutiva del Rectorado, el Vicerrectorado y sus demás reparticiones e instancias decisionales de la Yachayllajta UNIBOL, desde sus competencias y periodicidades respectivas, conduzcan recurrentemente un sistema de gestión académica fluida y oportuna, capaz de responder a los requerimientos del propio proceso educativo, como de la sociedad, particularmente el mundo quechua y el Estado, particularmente los referidos a desarrollo productivo agropecuario, industrialización, autonomías y educación.</w:t>
      </w:r>
    </w:p>
    <w:p>
      <w:pPr>
        <w:pStyle w:val="BodyText"/>
        <w:spacing w:line="259" w:lineRule="auto" w:before="159"/>
        <w:ind w:left="1082" w:right="847" w:firstLine="67"/>
        <w:jc w:val="both"/>
      </w:pPr>
      <w:r>
        <w:rPr/>
        <w:t>Este desafío supondrá la dotación de un Sistema de gestión directiva y ejecutiva y delegados de los diversos actores que erradiquen cualquier improvisación y discontinuidad en sus representantes, de viendo primar la continuidad de gestión, respondiendo dentro el plazo de su período anual, a por lo menos el 90 % de su agenda de trabajo del periodo. Se debe proveer o perfeccionar los instrumentos rectores tanto procedimentales como reglamentarios de estas instancias, así como dotando a la Universidad de un sistema de gestión y directiva para el régimen internado tanto sobre lo académico como sobre la integralidad del régimen de residencia y territorial o semipresencial; dado el crecimiento vegetativo de estudiantes, el régimen interno es clave de ser regulado y regido para erradicar o prevenir su desgobierno en cualquier magnitud así como la institucionalización y recurrencia de la actividad territorial extramuros del régimen de internado, requiere demostrar la pertinencia para el modelo educativo que significan el aprender haciendo, la investigación aplicada .</w:t>
      </w:r>
    </w:p>
    <w:p>
      <w:pPr>
        <w:pStyle w:val="BodyText"/>
        <w:spacing w:line="259" w:lineRule="auto" w:before="158"/>
        <w:ind w:left="1082" w:right="846"/>
        <w:jc w:val="both"/>
      </w:pPr>
      <w:r>
        <w:rPr/>
        <w:t>La consolidación de las Juntas como instancias máximas y estables de la institucionalidad , estará reflejada en su permanente recurrencia de las Sesiones y decisiones periódicas y regulares de las instancias directiva y ejecutiva establecidas con la Periodicidad y continuidad de participación plena de miembros y especialmente de circulación de información ex ante y post de sesiones a sus miembros , de forma de agilizar su desempeño ejecutivo y con la suficiente consulta previa a sus respectivas organizaciones IOCs que forman el núcleo de estas Juntas.</w:t>
      </w:r>
    </w:p>
    <w:p>
      <w:pPr>
        <w:pStyle w:val="BodyText"/>
        <w:spacing w:line="259" w:lineRule="auto" w:before="158"/>
        <w:ind w:left="1082" w:right="853"/>
        <w:jc w:val="both"/>
      </w:pPr>
      <w:r>
        <w:rPr/>
        <w:t>Para el logro de todo el diseño de la Yachaywasi UNIBOL quechua y de todo el sistema de universidades indígenas como política de estado, toda la institución deberá activar en generar el tejido político y social necesario para impulsar e incidir en a aprobación de la Ley Plurinacional respectiva que de la continuidad y estabilidad a esta emergente propuesta de profesionalización y servicio al desarrollo hasta su pleno posicionamiento. Por su importancia significará destinar recursos y operadores que, constituyendo un equipo encaminen la formulación  de  la  propuesta de Ley marco que institucionalice como política de Estado la UNIBOL, genere procesos internos de consulta y externos de apoyo en decisores para acción conjunta, hasta lograr a lo sumo que el Proyecto de ley sea asumido por mayoría de legisladores de Asamblea Plurinacional, sino su ágil aprobación en el plazo más breve</w:t>
      </w:r>
      <w:r>
        <w:rPr>
          <w:spacing w:val="-1"/>
        </w:rPr>
        <w:t> </w:t>
      </w:r>
      <w:r>
        <w:rPr/>
        <w:t>posible.</w:t>
      </w:r>
    </w:p>
    <w:p>
      <w:pPr>
        <w:spacing w:after="0" w:line="259" w:lineRule="auto"/>
        <w:jc w:val="both"/>
        <w:sectPr>
          <w:pgSz w:w="11910" w:h="16840"/>
          <w:pgMar w:header="0" w:footer="922" w:top="1320" w:bottom="1200" w:left="620" w:right="280"/>
        </w:sectPr>
      </w:pPr>
    </w:p>
    <w:p>
      <w:pPr>
        <w:pStyle w:val="BodyText"/>
        <w:spacing w:before="9"/>
        <w:rPr>
          <w:sz w:val="18"/>
        </w:rPr>
      </w:pPr>
    </w:p>
    <w:p>
      <w:pPr>
        <w:spacing w:before="59"/>
        <w:ind w:left="212" w:right="493" w:firstLine="0"/>
        <w:jc w:val="center"/>
        <w:rPr>
          <w:rFonts w:ascii="Calibri" w:hAnsi="Calibri"/>
          <w:b/>
          <w:sz w:val="20"/>
        </w:rPr>
      </w:pPr>
      <w:r>
        <w:rPr>
          <w:rFonts w:ascii="Calibri" w:hAnsi="Calibri"/>
          <w:b/>
          <w:sz w:val="20"/>
        </w:rPr>
        <w:t>LINEA DE ACCIÓN 6: SISTEMA DE ADMINISTRACION TRANSPARENTE</w:t>
      </w:r>
    </w:p>
    <w:p>
      <w:pPr>
        <w:pStyle w:val="BodyText"/>
        <w:spacing w:before="11"/>
        <w:rPr>
          <w:rFonts w:ascii="Calibri"/>
          <w:b/>
          <w:sz w:val="14"/>
        </w:r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5"/>
        <w:gridCol w:w="1793"/>
        <w:gridCol w:w="1793"/>
        <w:gridCol w:w="1920"/>
        <w:gridCol w:w="1531"/>
      </w:tblGrid>
      <w:tr>
        <w:trPr>
          <w:trHeight w:val="760" w:hRule="atLeast"/>
        </w:trPr>
        <w:tc>
          <w:tcPr>
            <w:tcW w:w="2175" w:type="dxa"/>
            <w:shd w:val="clear" w:color="auto" w:fill="FFFF00"/>
          </w:tcPr>
          <w:p>
            <w:pPr>
              <w:pStyle w:val="TableParagraph"/>
              <w:spacing w:before="1"/>
              <w:ind w:left="4"/>
              <w:jc w:val="center"/>
              <w:rPr>
                <w:b/>
                <w:sz w:val="20"/>
              </w:rPr>
            </w:pPr>
            <w:r>
              <w:rPr>
                <w:b/>
                <w:sz w:val="20"/>
              </w:rPr>
              <w:t>RESULTADOS</w:t>
            </w:r>
          </w:p>
        </w:tc>
        <w:tc>
          <w:tcPr>
            <w:tcW w:w="1793" w:type="dxa"/>
            <w:shd w:val="clear" w:color="auto" w:fill="FFFF00"/>
          </w:tcPr>
          <w:p>
            <w:pPr>
              <w:pStyle w:val="TableParagraph"/>
              <w:spacing w:line="278" w:lineRule="auto"/>
              <w:ind w:left="323" w:firstLine="91"/>
              <w:rPr>
                <w:b/>
                <w:sz w:val="20"/>
              </w:rPr>
            </w:pPr>
            <w:r>
              <w:rPr>
                <w:b/>
                <w:sz w:val="20"/>
              </w:rPr>
              <w:t>INDICADOR </w:t>
            </w:r>
            <w:r>
              <w:rPr>
                <w:b/>
                <w:w w:val="95"/>
                <w:sz w:val="20"/>
              </w:rPr>
              <w:t>ESTRATÉGICO</w:t>
            </w:r>
          </w:p>
        </w:tc>
        <w:tc>
          <w:tcPr>
            <w:tcW w:w="1793" w:type="dxa"/>
            <w:shd w:val="clear" w:color="auto" w:fill="FFFF00"/>
          </w:tcPr>
          <w:p>
            <w:pPr>
              <w:pStyle w:val="TableParagraph"/>
              <w:spacing w:before="1"/>
              <w:ind w:left="337"/>
              <w:rPr>
                <w:b/>
                <w:sz w:val="20"/>
              </w:rPr>
            </w:pPr>
            <w:r>
              <w:rPr>
                <w:b/>
                <w:sz w:val="20"/>
              </w:rPr>
              <w:t>ACTIVIDADES</w:t>
            </w:r>
          </w:p>
        </w:tc>
        <w:tc>
          <w:tcPr>
            <w:tcW w:w="1920" w:type="dxa"/>
            <w:shd w:val="clear" w:color="auto" w:fill="FFFF00"/>
          </w:tcPr>
          <w:p>
            <w:pPr>
              <w:pStyle w:val="TableParagraph"/>
              <w:spacing w:before="1"/>
              <w:ind w:left="314"/>
              <w:rPr>
                <w:b/>
                <w:sz w:val="20"/>
              </w:rPr>
            </w:pPr>
            <w:r>
              <w:rPr>
                <w:b/>
                <w:sz w:val="20"/>
              </w:rPr>
              <w:t>METODOLOGIA</w:t>
            </w:r>
          </w:p>
        </w:tc>
        <w:tc>
          <w:tcPr>
            <w:tcW w:w="1531" w:type="dxa"/>
            <w:shd w:val="clear" w:color="auto" w:fill="FFFF00"/>
          </w:tcPr>
          <w:p>
            <w:pPr>
              <w:pStyle w:val="TableParagraph"/>
              <w:spacing w:before="1"/>
              <w:ind w:left="187"/>
              <w:rPr>
                <w:b/>
                <w:sz w:val="20"/>
              </w:rPr>
            </w:pPr>
            <w:r>
              <w:rPr>
                <w:b/>
                <w:sz w:val="20"/>
              </w:rPr>
              <w:t>INDICADORES</w:t>
            </w:r>
          </w:p>
        </w:tc>
      </w:tr>
      <w:tr>
        <w:trPr>
          <w:trHeight w:val="262" w:hRule="atLeast"/>
        </w:trPr>
        <w:tc>
          <w:tcPr>
            <w:tcW w:w="2175" w:type="dxa"/>
            <w:tcBorders>
              <w:bottom w:val="nil"/>
            </w:tcBorders>
            <w:shd w:val="clear" w:color="auto" w:fill="FFF1CC"/>
          </w:tcPr>
          <w:p>
            <w:pPr>
              <w:pStyle w:val="TableParagraph"/>
              <w:spacing w:line="242" w:lineRule="exact"/>
              <w:ind w:left="69"/>
              <w:rPr>
                <w:sz w:val="20"/>
              </w:rPr>
            </w:pPr>
            <w:r>
              <w:rPr>
                <w:sz w:val="20"/>
              </w:rPr>
              <w:t>7. Esta implementado un</w:t>
            </w:r>
          </w:p>
        </w:tc>
        <w:tc>
          <w:tcPr>
            <w:tcW w:w="1793" w:type="dxa"/>
            <w:tcBorders>
              <w:bottom w:val="nil"/>
            </w:tcBorders>
            <w:shd w:val="clear" w:color="auto" w:fill="FFF1CC"/>
          </w:tcPr>
          <w:p>
            <w:pPr>
              <w:pStyle w:val="TableParagraph"/>
              <w:spacing w:line="242" w:lineRule="exact"/>
              <w:ind w:left="69"/>
              <w:rPr>
                <w:sz w:val="20"/>
              </w:rPr>
            </w:pPr>
            <w:r>
              <w:rPr>
                <w:sz w:val="20"/>
              </w:rPr>
              <w:t>Sistema</w:t>
            </w:r>
          </w:p>
        </w:tc>
        <w:tc>
          <w:tcPr>
            <w:tcW w:w="1793" w:type="dxa"/>
            <w:tcBorders>
              <w:bottom w:val="nil"/>
            </w:tcBorders>
            <w:shd w:val="clear" w:color="auto" w:fill="FFF1CC"/>
          </w:tcPr>
          <w:p>
            <w:pPr>
              <w:pStyle w:val="TableParagraph"/>
              <w:spacing w:line="242" w:lineRule="exact"/>
              <w:ind w:left="69"/>
              <w:rPr>
                <w:sz w:val="20"/>
              </w:rPr>
            </w:pPr>
            <w:r>
              <w:rPr>
                <w:sz w:val="20"/>
              </w:rPr>
              <w:t>25. Ciclos anuales</w:t>
            </w:r>
          </w:p>
        </w:tc>
        <w:tc>
          <w:tcPr>
            <w:tcW w:w="1920" w:type="dxa"/>
            <w:tcBorders>
              <w:bottom w:val="nil"/>
            </w:tcBorders>
            <w:shd w:val="clear" w:color="auto" w:fill="FFF1CC"/>
          </w:tcPr>
          <w:p>
            <w:pPr>
              <w:pStyle w:val="TableParagraph"/>
              <w:tabs>
                <w:tab w:pos="958" w:val="left" w:leader="none"/>
              </w:tabs>
              <w:spacing w:line="242" w:lineRule="exact"/>
              <w:ind w:left="69"/>
              <w:rPr>
                <w:sz w:val="20"/>
              </w:rPr>
            </w:pPr>
            <w:r>
              <w:rPr>
                <w:sz w:val="20"/>
              </w:rPr>
              <w:t>Talleres</w:t>
              <w:tab/>
              <w:t>ejecutados</w:t>
            </w:r>
          </w:p>
        </w:tc>
        <w:tc>
          <w:tcPr>
            <w:tcW w:w="1531" w:type="dxa"/>
            <w:tcBorders>
              <w:bottom w:val="nil"/>
            </w:tcBorders>
            <w:shd w:val="clear" w:color="auto" w:fill="FFF1CC"/>
          </w:tcPr>
          <w:p>
            <w:pPr>
              <w:pStyle w:val="TableParagraph"/>
              <w:spacing w:line="242" w:lineRule="exact"/>
              <w:ind w:left="69"/>
              <w:rPr>
                <w:sz w:val="20"/>
              </w:rPr>
            </w:pPr>
            <w:r>
              <w:rPr>
                <w:sz w:val="20"/>
              </w:rPr>
              <w:t>Anualmente</w:t>
            </w:r>
          </w:p>
        </w:tc>
      </w:tr>
      <w:tr>
        <w:trPr>
          <w:trHeight w:val="244" w:hRule="atLeast"/>
        </w:trPr>
        <w:tc>
          <w:tcPr>
            <w:tcW w:w="2175" w:type="dxa"/>
            <w:tcBorders>
              <w:top w:val="nil"/>
              <w:bottom w:val="nil"/>
            </w:tcBorders>
            <w:shd w:val="clear" w:color="auto" w:fill="FFF1CC"/>
          </w:tcPr>
          <w:p>
            <w:pPr>
              <w:pStyle w:val="TableParagraph"/>
              <w:spacing w:line="225" w:lineRule="exact"/>
              <w:ind w:left="4"/>
              <w:jc w:val="center"/>
              <w:rPr>
                <w:sz w:val="20"/>
              </w:rPr>
            </w:pPr>
            <w:r>
              <w:rPr>
                <w:sz w:val="20"/>
              </w:rPr>
              <w:t>sistema ágil, confiable y</w:t>
            </w:r>
          </w:p>
        </w:tc>
        <w:tc>
          <w:tcPr>
            <w:tcW w:w="1793" w:type="dxa"/>
            <w:tcBorders>
              <w:top w:val="nil"/>
              <w:bottom w:val="nil"/>
            </w:tcBorders>
            <w:shd w:val="clear" w:color="auto" w:fill="FFF1CC"/>
          </w:tcPr>
          <w:p>
            <w:pPr>
              <w:pStyle w:val="TableParagraph"/>
              <w:spacing w:line="225" w:lineRule="exact"/>
              <w:ind w:left="69"/>
              <w:rPr>
                <w:sz w:val="20"/>
              </w:rPr>
            </w:pPr>
            <w:r>
              <w:rPr>
                <w:sz w:val="20"/>
              </w:rPr>
              <w:t>administrativo y de</w:t>
            </w:r>
          </w:p>
        </w:tc>
        <w:tc>
          <w:tcPr>
            <w:tcW w:w="1793" w:type="dxa"/>
            <w:tcBorders>
              <w:top w:val="nil"/>
              <w:bottom w:val="nil"/>
            </w:tcBorders>
            <w:shd w:val="clear" w:color="auto" w:fill="FFF1CC"/>
          </w:tcPr>
          <w:p>
            <w:pPr>
              <w:pStyle w:val="TableParagraph"/>
              <w:spacing w:line="225" w:lineRule="exact"/>
              <w:ind w:left="69"/>
              <w:rPr>
                <w:sz w:val="20"/>
              </w:rPr>
            </w:pPr>
            <w:r>
              <w:rPr>
                <w:sz w:val="20"/>
              </w:rPr>
              <w:t>de</w:t>
            </w:r>
          </w:p>
        </w:tc>
        <w:tc>
          <w:tcPr>
            <w:tcW w:w="1920" w:type="dxa"/>
            <w:tcBorders>
              <w:top w:val="nil"/>
              <w:bottom w:val="nil"/>
            </w:tcBorders>
            <w:shd w:val="clear" w:color="auto" w:fill="FFF1CC"/>
          </w:tcPr>
          <w:p>
            <w:pPr>
              <w:pStyle w:val="TableParagraph"/>
              <w:spacing w:line="225" w:lineRule="exact"/>
              <w:ind w:left="69"/>
              <w:rPr>
                <w:sz w:val="20"/>
              </w:rPr>
            </w:pPr>
            <w:r>
              <w:rPr>
                <w:sz w:val="20"/>
              </w:rPr>
              <w:t>con los actores de</w:t>
            </w:r>
          </w:p>
        </w:tc>
        <w:tc>
          <w:tcPr>
            <w:tcW w:w="1531" w:type="dxa"/>
            <w:tcBorders>
              <w:top w:val="nil"/>
              <w:bottom w:val="nil"/>
            </w:tcBorders>
            <w:shd w:val="clear" w:color="auto" w:fill="FFF1CC"/>
          </w:tcPr>
          <w:p>
            <w:pPr>
              <w:pStyle w:val="TableParagraph"/>
              <w:spacing w:line="225" w:lineRule="exact"/>
              <w:ind w:left="69"/>
              <w:rPr>
                <w:sz w:val="20"/>
              </w:rPr>
            </w:pPr>
            <w:r>
              <w:rPr>
                <w:sz w:val="20"/>
              </w:rPr>
              <w:t>autoridades,</w:t>
            </w:r>
          </w:p>
        </w:tc>
      </w:tr>
      <w:tr>
        <w:trPr>
          <w:trHeight w:val="243" w:hRule="atLeast"/>
        </w:trPr>
        <w:tc>
          <w:tcPr>
            <w:tcW w:w="2175" w:type="dxa"/>
            <w:tcBorders>
              <w:top w:val="nil"/>
              <w:bottom w:val="nil"/>
            </w:tcBorders>
            <w:shd w:val="clear" w:color="auto" w:fill="FFF1CC"/>
          </w:tcPr>
          <w:p>
            <w:pPr>
              <w:pStyle w:val="TableParagraph"/>
              <w:tabs>
                <w:tab w:pos="1833" w:val="left" w:leader="none"/>
              </w:tabs>
              <w:spacing w:line="224" w:lineRule="exact"/>
              <w:ind w:left="5"/>
              <w:jc w:val="center"/>
              <w:rPr>
                <w:sz w:val="20"/>
              </w:rPr>
            </w:pPr>
            <w:r>
              <w:rPr>
                <w:sz w:val="20"/>
              </w:rPr>
              <w:t>transparente</w:t>
              <w:tab/>
              <w:t>de</w:t>
            </w:r>
          </w:p>
        </w:tc>
        <w:tc>
          <w:tcPr>
            <w:tcW w:w="1793" w:type="dxa"/>
            <w:tcBorders>
              <w:top w:val="nil"/>
              <w:bottom w:val="nil"/>
            </w:tcBorders>
            <w:shd w:val="clear" w:color="auto" w:fill="FFF1CC"/>
          </w:tcPr>
          <w:p>
            <w:pPr>
              <w:pStyle w:val="TableParagraph"/>
              <w:tabs>
                <w:tab w:pos="853" w:val="left" w:leader="none"/>
              </w:tabs>
              <w:spacing w:line="224" w:lineRule="exact"/>
              <w:ind w:left="69"/>
              <w:rPr>
                <w:sz w:val="20"/>
              </w:rPr>
            </w:pPr>
            <w:r>
              <w:rPr>
                <w:sz w:val="20"/>
              </w:rPr>
              <w:t>control</w:t>
              <w:tab/>
              <w:t>superando</w:t>
            </w:r>
          </w:p>
        </w:tc>
        <w:tc>
          <w:tcPr>
            <w:tcW w:w="1793" w:type="dxa"/>
            <w:tcBorders>
              <w:top w:val="nil"/>
              <w:bottom w:val="nil"/>
            </w:tcBorders>
            <w:shd w:val="clear" w:color="auto" w:fill="FFF1CC"/>
          </w:tcPr>
          <w:p>
            <w:pPr>
              <w:pStyle w:val="TableParagraph"/>
              <w:spacing w:line="224" w:lineRule="exact"/>
              <w:ind w:left="69"/>
              <w:rPr>
                <w:sz w:val="20"/>
              </w:rPr>
            </w:pPr>
            <w:r>
              <w:rPr>
                <w:sz w:val="20"/>
              </w:rPr>
              <w:t>capacitación/actuali</w:t>
            </w:r>
          </w:p>
        </w:tc>
        <w:tc>
          <w:tcPr>
            <w:tcW w:w="1920" w:type="dxa"/>
            <w:tcBorders>
              <w:top w:val="nil"/>
              <w:bottom w:val="nil"/>
            </w:tcBorders>
            <w:shd w:val="clear" w:color="auto" w:fill="FFF1CC"/>
          </w:tcPr>
          <w:p>
            <w:pPr>
              <w:pStyle w:val="TableParagraph"/>
              <w:tabs>
                <w:tab w:pos="976" w:val="left" w:leader="none"/>
                <w:tab w:pos="1343" w:val="left" w:leader="none"/>
              </w:tabs>
              <w:spacing w:line="224" w:lineRule="exact"/>
              <w:ind w:left="69"/>
              <w:rPr>
                <w:sz w:val="20"/>
              </w:rPr>
            </w:pPr>
            <w:r>
              <w:rPr>
                <w:sz w:val="20"/>
              </w:rPr>
              <w:t>UNIBOL</w:t>
              <w:tab/>
              <w:t>y</w:t>
              <w:tab/>
              <w:t>apoyo</w:t>
            </w:r>
          </w:p>
        </w:tc>
        <w:tc>
          <w:tcPr>
            <w:tcW w:w="1531" w:type="dxa"/>
            <w:tcBorders>
              <w:top w:val="nil"/>
              <w:bottom w:val="nil"/>
            </w:tcBorders>
            <w:shd w:val="clear" w:color="auto" w:fill="FFF1CC"/>
          </w:tcPr>
          <w:p>
            <w:pPr>
              <w:pStyle w:val="TableParagraph"/>
              <w:spacing w:line="224" w:lineRule="exact"/>
              <w:ind w:left="69"/>
              <w:rPr>
                <w:sz w:val="20"/>
              </w:rPr>
            </w:pPr>
            <w:r>
              <w:rPr>
                <w:sz w:val="20"/>
              </w:rPr>
              <w:t>administrativos y</w:t>
            </w:r>
          </w:p>
        </w:tc>
      </w:tr>
      <w:tr>
        <w:trPr>
          <w:trHeight w:val="243" w:hRule="atLeast"/>
        </w:trPr>
        <w:tc>
          <w:tcPr>
            <w:tcW w:w="2175" w:type="dxa"/>
            <w:tcBorders>
              <w:top w:val="nil"/>
              <w:bottom w:val="nil"/>
            </w:tcBorders>
            <w:shd w:val="clear" w:color="auto" w:fill="FFF1CC"/>
          </w:tcPr>
          <w:p>
            <w:pPr>
              <w:pStyle w:val="TableParagraph"/>
              <w:spacing w:line="224" w:lineRule="exact"/>
              <w:ind w:left="5"/>
              <w:jc w:val="center"/>
              <w:rPr>
                <w:sz w:val="20"/>
              </w:rPr>
            </w:pPr>
            <w:r>
              <w:rPr>
                <w:sz w:val="20"/>
              </w:rPr>
              <w:t>administración y control</w:t>
            </w:r>
          </w:p>
        </w:tc>
        <w:tc>
          <w:tcPr>
            <w:tcW w:w="1793" w:type="dxa"/>
            <w:tcBorders>
              <w:top w:val="nil"/>
              <w:bottom w:val="nil"/>
            </w:tcBorders>
            <w:shd w:val="clear" w:color="auto" w:fill="FFF1CC"/>
          </w:tcPr>
          <w:p>
            <w:pPr>
              <w:pStyle w:val="TableParagraph"/>
              <w:tabs>
                <w:tab w:pos="1488" w:val="left" w:leader="none"/>
              </w:tabs>
              <w:spacing w:line="224" w:lineRule="exact"/>
              <w:ind w:left="69"/>
              <w:rPr>
                <w:sz w:val="20"/>
              </w:rPr>
            </w:pPr>
            <w:r>
              <w:rPr>
                <w:sz w:val="20"/>
              </w:rPr>
              <w:t>positivamente</w:t>
              <w:tab/>
              <w:t>los</w:t>
            </w:r>
          </w:p>
        </w:tc>
        <w:tc>
          <w:tcPr>
            <w:tcW w:w="1793" w:type="dxa"/>
            <w:tcBorders>
              <w:top w:val="nil"/>
              <w:bottom w:val="nil"/>
            </w:tcBorders>
            <w:shd w:val="clear" w:color="auto" w:fill="FFF1CC"/>
          </w:tcPr>
          <w:p>
            <w:pPr>
              <w:pStyle w:val="TableParagraph"/>
              <w:tabs>
                <w:tab w:pos="809" w:val="left" w:leader="none"/>
              </w:tabs>
              <w:spacing w:line="224" w:lineRule="exact"/>
              <w:ind w:left="69"/>
              <w:rPr>
                <w:sz w:val="20"/>
              </w:rPr>
            </w:pPr>
            <w:r>
              <w:rPr>
                <w:sz w:val="20"/>
              </w:rPr>
              <w:t>zación</w:t>
              <w:tab/>
              <w:t>en</w:t>
            </w:r>
            <w:r>
              <w:rPr>
                <w:spacing w:val="17"/>
                <w:sz w:val="20"/>
              </w:rPr>
              <w:t> </w:t>
            </w:r>
            <w:r>
              <w:rPr>
                <w:sz w:val="20"/>
              </w:rPr>
              <w:t>gestión</w:t>
            </w:r>
          </w:p>
        </w:tc>
        <w:tc>
          <w:tcPr>
            <w:tcW w:w="1920" w:type="dxa"/>
            <w:tcBorders>
              <w:top w:val="nil"/>
              <w:bottom w:val="nil"/>
            </w:tcBorders>
            <w:shd w:val="clear" w:color="auto" w:fill="FFF1CC"/>
          </w:tcPr>
          <w:p>
            <w:pPr>
              <w:pStyle w:val="TableParagraph"/>
              <w:spacing w:line="224" w:lineRule="exact"/>
              <w:ind w:left="69"/>
              <w:rPr>
                <w:sz w:val="20"/>
              </w:rPr>
            </w:pPr>
            <w:r>
              <w:rPr>
                <w:sz w:val="20"/>
              </w:rPr>
              <w:t>ministerial</w:t>
            </w:r>
          </w:p>
        </w:tc>
        <w:tc>
          <w:tcPr>
            <w:tcW w:w="1531" w:type="dxa"/>
            <w:tcBorders>
              <w:top w:val="nil"/>
              <w:bottom w:val="nil"/>
            </w:tcBorders>
            <w:shd w:val="clear" w:color="auto" w:fill="FFF1CC"/>
          </w:tcPr>
          <w:p>
            <w:pPr>
              <w:pStyle w:val="TableParagraph"/>
              <w:tabs>
                <w:tab w:pos="1252" w:val="left" w:leader="none"/>
              </w:tabs>
              <w:spacing w:line="224" w:lineRule="exact"/>
              <w:ind w:left="69"/>
              <w:rPr>
                <w:sz w:val="20"/>
              </w:rPr>
            </w:pPr>
            <w:r>
              <w:rPr>
                <w:sz w:val="20"/>
              </w:rPr>
              <w:t>miembros</w:t>
              <w:tab/>
              <w:t>de</w:t>
            </w:r>
          </w:p>
        </w:tc>
      </w:tr>
      <w:tr>
        <w:trPr>
          <w:trHeight w:val="244" w:hRule="atLeast"/>
        </w:trPr>
        <w:tc>
          <w:tcPr>
            <w:tcW w:w="2175" w:type="dxa"/>
            <w:tcBorders>
              <w:top w:val="nil"/>
              <w:bottom w:val="nil"/>
            </w:tcBorders>
            <w:shd w:val="clear" w:color="auto" w:fill="FFF1CC"/>
          </w:tcPr>
          <w:p>
            <w:pPr>
              <w:pStyle w:val="TableParagraph"/>
              <w:spacing w:line="225" w:lineRule="exact"/>
              <w:ind w:left="3"/>
              <w:jc w:val="center"/>
              <w:rPr>
                <w:sz w:val="20"/>
              </w:rPr>
            </w:pPr>
            <w:r>
              <w:rPr>
                <w:sz w:val="20"/>
              </w:rPr>
              <w:t>en el desenvolvimiento</w:t>
            </w:r>
          </w:p>
        </w:tc>
        <w:tc>
          <w:tcPr>
            <w:tcW w:w="1793" w:type="dxa"/>
            <w:tcBorders>
              <w:top w:val="nil"/>
              <w:bottom w:val="nil"/>
            </w:tcBorders>
            <w:shd w:val="clear" w:color="auto" w:fill="FFF1CC"/>
          </w:tcPr>
          <w:p>
            <w:pPr>
              <w:pStyle w:val="TableParagraph"/>
              <w:spacing w:line="225" w:lineRule="exact"/>
              <w:ind w:left="69"/>
              <w:rPr>
                <w:sz w:val="20"/>
              </w:rPr>
            </w:pPr>
            <w:r>
              <w:rPr>
                <w:sz w:val="20"/>
              </w:rPr>
              <w:t>controles</w:t>
            </w:r>
          </w:p>
        </w:tc>
        <w:tc>
          <w:tcPr>
            <w:tcW w:w="1793" w:type="dxa"/>
            <w:tcBorders>
              <w:top w:val="nil"/>
              <w:bottom w:val="nil"/>
            </w:tcBorders>
            <w:shd w:val="clear" w:color="auto" w:fill="FFF1CC"/>
          </w:tcPr>
          <w:p>
            <w:pPr>
              <w:pStyle w:val="TableParagraph"/>
              <w:tabs>
                <w:tab w:pos="1633" w:val="left" w:leader="none"/>
              </w:tabs>
              <w:spacing w:line="225" w:lineRule="exact"/>
              <w:ind w:left="69"/>
              <w:rPr>
                <w:sz w:val="20"/>
              </w:rPr>
            </w:pPr>
            <w:r>
              <w:rPr>
                <w:sz w:val="20"/>
              </w:rPr>
              <w:t>pública</w:t>
              <w:tab/>
              <w:t>y</w:t>
            </w:r>
          </w:p>
        </w:tc>
        <w:tc>
          <w:tcPr>
            <w:tcW w:w="1920" w:type="dxa"/>
            <w:tcBorders>
              <w:top w:val="nil"/>
              <w:bottom w:val="nil"/>
            </w:tcBorders>
            <w:shd w:val="clear" w:color="auto" w:fill="FFF1CC"/>
          </w:tcPr>
          <w:p>
            <w:pPr>
              <w:pStyle w:val="TableParagraph"/>
              <w:rPr>
                <w:rFonts w:ascii="Times New Roman"/>
                <w:sz w:val="16"/>
              </w:rPr>
            </w:pPr>
          </w:p>
        </w:tc>
        <w:tc>
          <w:tcPr>
            <w:tcW w:w="1531" w:type="dxa"/>
            <w:tcBorders>
              <w:top w:val="nil"/>
              <w:bottom w:val="nil"/>
            </w:tcBorders>
            <w:shd w:val="clear" w:color="auto" w:fill="FFF1CC"/>
          </w:tcPr>
          <w:p>
            <w:pPr>
              <w:pStyle w:val="TableParagraph"/>
              <w:spacing w:line="225" w:lineRule="exact"/>
              <w:ind w:left="69"/>
              <w:rPr>
                <w:sz w:val="20"/>
              </w:rPr>
            </w:pPr>
            <w:r>
              <w:rPr>
                <w:sz w:val="20"/>
              </w:rPr>
              <w:t>Juntas</w:t>
            </w:r>
          </w:p>
        </w:tc>
      </w:tr>
      <w:tr>
        <w:trPr>
          <w:trHeight w:val="245" w:hRule="atLeast"/>
        </w:trPr>
        <w:tc>
          <w:tcPr>
            <w:tcW w:w="2175" w:type="dxa"/>
            <w:tcBorders>
              <w:top w:val="nil"/>
              <w:bottom w:val="nil"/>
            </w:tcBorders>
            <w:shd w:val="clear" w:color="auto" w:fill="FFF1CC"/>
          </w:tcPr>
          <w:p>
            <w:pPr>
              <w:pStyle w:val="TableParagraph"/>
              <w:tabs>
                <w:tab w:pos="568" w:val="left" w:leader="none"/>
                <w:tab w:pos="1070" w:val="left" w:leader="none"/>
              </w:tabs>
              <w:spacing w:line="225" w:lineRule="exact"/>
              <w:ind w:left="5"/>
              <w:jc w:val="center"/>
              <w:rPr>
                <w:sz w:val="20"/>
              </w:rPr>
            </w:pPr>
            <w:r>
              <w:rPr>
                <w:sz w:val="20"/>
              </w:rPr>
              <w:t>de</w:t>
              <w:tab/>
              <w:t>la</w:t>
              <w:tab/>
              <w:t>Yachayllajta</w:t>
            </w:r>
          </w:p>
        </w:tc>
        <w:tc>
          <w:tcPr>
            <w:tcW w:w="1793" w:type="dxa"/>
            <w:tcBorders>
              <w:top w:val="nil"/>
              <w:bottom w:val="nil"/>
            </w:tcBorders>
            <w:shd w:val="clear" w:color="auto" w:fill="FFF1CC"/>
          </w:tcPr>
          <w:p>
            <w:pPr>
              <w:pStyle w:val="TableParagraph"/>
              <w:spacing w:line="225" w:lineRule="exact"/>
              <w:ind w:left="69"/>
              <w:rPr>
                <w:sz w:val="20"/>
              </w:rPr>
            </w:pPr>
            <w:r>
              <w:rPr>
                <w:sz w:val="20"/>
              </w:rPr>
              <w:t>administrativo</w:t>
            </w:r>
          </w:p>
        </w:tc>
        <w:tc>
          <w:tcPr>
            <w:tcW w:w="1793" w:type="dxa"/>
            <w:tcBorders>
              <w:top w:val="nil"/>
              <w:bottom w:val="nil"/>
            </w:tcBorders>
            <w:shd w:val="clear" w:color="auto" w:fill="FFF1CC"/>
          </w:tcPr>
          <w:p>
            <w:pPr>
              <w:pStyle w:val="TableParagraph"/>
              <w:spacing w:line="225" w:lineRule="exact"/>
              <w:ind w:left="69"/>
              <w:rPr>
                <w:sz w:val="20"/>
              </w:rPr>
            </w:pPr>
            <w:r>
              <w:rPr>
                <w:sz w:val="20"/>
              </w:rPr>
              <w:t>administrativa</w:t>
            </w:r>
          </w:p>
        </w:tc>
        <w:tc>
          <w:tcPr>
            <w:tcW w:w="1920" w:type="dxa"/>
            <w:tcBorders>
              <w:top w:val="nil"/>
              <w:bottom w:val="nil"/>
            </w:tcBorders>
            <w:shd w:val="clear" w:color="auto" w:fill="FFF1CC"/>
          </w:tcPr>
          <w:p>
            <w:pPr>
              <w:pStyle w:val="TableParagraph"/>
              <w:rPr>
                <w:rFonts w:ascii="Times New Roman"/>
                <w:sz w:val="16"/>
              </w:rPr>
            </w:pPr>
          </w:p>
        </w:tc>
        <w:tc>
          <w:tcPr>
            <w:tcW w:w="1531" w:type="dxa"/>
            <w:tcBorders>
              <w:top w:val="nil"/>
              <w:bottom w:val="nil"/>
            </w:tcBorders>
            <w:shd w:val="clear" w:color="auto" w:fill="FFF1CC"/>
          </w:tcPr>
          <w:p>
            <w:pPr>
              <w:pStyle w:val="TableParagraph"/>
              <w:spacing w:line="225" w:lineRule="exact"/>
              <w:ind w:left="69"/>
              <w:rPr>
                <w:sz w:val="20"/>
              </w:rPr>
            </w:pPr>
            <w:r>
              <w:rPr>
                <w:sz w:val="20"/>
              </w:rPr>
              <w:t>concluyen ciclo</w:t>
            </w:r>
          </w:p>
        </w:tc>
      </w:tr>
      <w:tr>
        <w:trPr>
          <w:trHeight w:val="92" w:hRule="atLeast"/>
        </w:trPr>
        <w:tc>
          <w:tcPr>
            <w:tcW w:w="2175" w:type="dxa"/>
            <w:vMerge w:val="restart"/>
            <w:tcBorders>
              <w:top w:val="nil"/>
              <w:bottom w:val="nil"/>
            </w:tcBorders>
            <w:shd w:val="clear" w:color="auto" w:fill="FFF1CC"/>
          </w:tcPr>
          <w:p>
            <w:pPr>
              <w:pStyle w:val="TableParagraph"/>
              <w:tabs>
                <w:tab w:pos="1028" w:val="left" w:leader="none"/>
              </w:tabs>
              <w:spacing w:line="225" w:lineRule="exact"/>
              <w:ind w:left="69"/>
              <w:rPr>
                <w:sz w:val="20"/>
              </w:rPr>
            </w:pPr>
            <w:r>
              <w:rPr>
                <w:sz w:val="20"/>
              </w:rPr>
              <w:t>UNIBOL,</w:t>
              <w:tab/>
              <w:t>tanto en</w:t>
            </w:r>
            <w:r>
              <w:rPr>
                <w:spacing w:val="7"/>
                <w:sz w:val="20"/>
              </w:rPr>
              <w:t> </w:t>
            </w:r>
            <w:r>
              <w:rPr>
                <w:sz w:val="20"/>
              </w:rPr>
              <w:t>el</w:t>
            </w:r>
          </w:p>
          <w:p>
            <w:pPr>
              <w:pStyle w:val="TableParagraph"/>
              <w:ind w:left="69" w:right="59"/>
              <w:rPr>
                <w:sz w:val="20"/>
              </w:rPr>
            </w:pPr>
            <w:r>
              <w:rPr>
                <w:sz w:val="20"/>
              </w:rPr>
              <w:t>campus Chimoré como en su accionar territorial</w:t>
            </w:r>
          </w:p>
        </w:tc>
        <w:tc>
          <w:tcPr>
            <w:tcW w:w="1793" w:type="dxa"/>
            <w:vMerge w:val="restart"/>
            <w:tcBorders>
              <w:top w:val="nil"/>
              <w:bottom w:val="nil"/>
            </w:tcBorders>
            <w:shd w:val="clear" w:color="auto" w:fill="FFF1CC"/>
          </w:tcPr>
          <w:p>
            <w:pPr>
              <w:pStyle w:val="TableParagraph"/>
              <w:spacing w:line="225" w:lineRule="exact"/>
              <w:ind w:left="69"/>
              <w:rPr>
                <w:sz w:val="20"/>
              </w:rPr>
            </w:pPr>
            <w:r>
              <w:rPr>
                <w:sz w:val="20"/>
              </w:rPr>
              <w:t>financieros</w:t>
            </w:r>
          </w:p>
          <w:p>
            <w:pPr>
              <w:pStyle w:val="TableParagraph"/>
              <w:spacing w:line="243" w:lineRule="exact"/>
              <w:ind w:left="69"/>
              <w:rPr>
                <w:sz w:val="20"/>
              </w:rPr>
            </w:pPr>
            <w:r>
              <w:rPr>
                <w:sz w:val="20"/>
              </w:rPr>
              <w:t>estatales cada año</w:t>
            </w:r>
          </w:p>
        </w:tc>
        <w:tc>
          <w:tcPr>
            <w:tcW w:w="1793" w:type="dxa"/>
            <w:tcBorders>
              <w:top w:val="nil"/>
            </w:tcBorders>
            <w:shd w:val="clear" w:color="auto" w:fill="FFF1CC"/>
          </w:tcPr>
          <w:p>
            <w:pPr>
              <w:pStyle w:val="TableParagraph"/>
              <w:rPr>
                <w:rFonts w:ascii="Times New Roman"/>
                <w:sz w:val="4"/>
              </w:rPr>
            </w:pPr>
          </w:p>
        </w:tc>
        <w:tc>
          <w:tcPr>
            <w:tcW w:w="1920" w:type="dxa"/>
            <w:tcBorders>
              <w:top w:val="nil"/>
            </w:tcBorders>
            <w:shd w:val="clear" w:color="auto" w:fill="FFF1CC"/>
          </w:tcPr>
          <w:p>
            <w:pPr>
              <w:pStyle w:val="TableParagraph"/>
              <w:rPr>
                <w:rFonts w:ascii="Times New Roman"/>
                <w:sz w:val="4"/>
              </w:rPr>
            </w:pPr>
          </w:p>
        </w:tc>
        <w:tc>
          <w:tcPr>
            <w:tcW w:w="1531" w:type="dxa"/>
            <w:tcBorders>
              <w:top w:val="nil"/>
            </w:tcBorders>
            <w:shd w:val="clear" w:color="auto" w:fill="FFF1CC"/>
          </w:tcPr>
          <w:p>
            <w:pPr>
              <w:pStyle w:val="TableParagraph"/>
              <w:rPr>
                <w:rFonts w:ascii="Times New Roman"/>
                <w:sz w:val="4"/>
              </w:rPr>
            </w:pPr>
          </w:p>
        </w:tc>
      </w:tr>
      <w:tr>
        <w:trPr>
          <w:trHeight w:val="749" w:hRule="atLeast"/>
        </w:trPr>
        <w:tc>
          <w:tcPr>
            <w:tcW w:w="2175" w:type="dxa"/>
            <w:vMerge/>
            <w:tcBorders>
              <w:top w:val="nil"/>
              <w:bottom w:val="nil"/>
            </w:tcBorders>
            <w:shd w:val="clear" w:color="auto" w:fill="FFF1CC"/>
          </w:tcPr>
          <w:p>
            <w:pPr>
              <w:rPr>
                <w:sz w:val="2"/>
                <w:szCs w:val="2"/>
              </w:rPr>
            </w:pPr>
          </w:p>
        </w:tc>
        <w:tc>
          <w:tcPr>
            <w:tcW w:w="1793" w:type="dxa"/>
            <w:vMerge/>
            <w:tcBorders>
              <w:top w:val="nil"/>
              <w:bottom w:val="nil"/>
            </w:tcBorders>
            <w:shd w:val="clear" w:color="auto" w:fill="FFF1CC"/>
          </w:tcPr>
          <w:p>
            <w:pPr>
              <w:rPr>
                <w:sz w:val="2"/>
                <w:szCs w:val="2"/>
              </w:rPr>
            </w:pPr>
          </w:p>
        </w:tc>
        <w:tc>
          <w:tcPr>
            <w:tcW w:w="1793" w:type="dxa"/>
            <w:tcBorders>
              <w:bottom w:val="nil"/>
            </w:tcBorders>
            <w:shd w:val="clear" w:color="auto" w:fill="FFF1CC"/>
          </w:tcPr>
          <w:p>
            <w:pPr>
              <w:pStyle w:val="TableParagraph"/>
              <w:tabs>
                <w:tab w:pos="574" w:val="left" w:leader="none"/>
                <w:tab w:pos="1514" w:val="left" w:leader="none"/>
              </w:tabs>
              <w:ind w:left="69" w:right="60"/>
              <w:rPr>
                <w:sz w:val="20"/>
              </w:rPr>
            </w:pPr>
            <w:r>
              <w:rPr>
                <w:sz w:val="20"/>
              </w:rPr>
              <w:t>26. Funcionamiento de</w:t>
              <w:tab/>
              <w:t>Sistema</w:t>
              <w:tab/>
            </w:r>
            <w:r>
              <w:rPr>
                <w:spacing w:val="-8"/>
                <w:sz w:val="20"/>
              </w:rPr>
              <w:t>de</w:t>
            </w:r>
          </w:p>
          <w:p>
            <w:pPr>
              <w:pStyle w:val="TableParagraph"/>
              <w:spacing w:line="242" w:lineRule="exact"/>
              <w:ind w:left="69"/>
              <w:rPr>
                <w:sz w:val="20"/>
              </w:rPr>
            </w:pPr>
            <w:r>
              <w:rPr>
                <w:sz w:val="20"/>
              </w:rPr>
              <w:t>Gestión</w:t>
            </w:r>
          </w:p>
        </w:tc>
        <w:tc>
          <w:tcPr>
            <w:tcW w:w="1920" w:type="dxa"/>
            <w:tcBorders>
              <w:bottom w:val="nil"/>
            </w:tcBorders>
            <w:shd w:val="clear" w:color="auto" w:fill="FFF1CC"/>
          </w:tcPr>
          <w:p>
            <w:pPr>
              <w:pStyle w:val="TableParagraph"/>
              <w:ind w:left="69"/>
              <w:rPr>
                <w:sz w:val="20"/>
              </w:rPr>
            </w:pPr>
            <w:r>
              <w:rPr>
                <w:sz w:val="20"/>
              </w:rPr>
              <w:t>Diseño, aprobación y aplicación  con</w:t>
            </w:r>
            <w:r>
              <w:rPr>
                <w:spacing w:val="29"/>
                <w:sz w:val="20"/>
              </w:rPr>
              <w:t> </w:t>
            </w:r>
            <w:r>
              <w:rPr>
                <w:spacing w:val="-3"/>
                <w:sz w:val="20"/>
              </w:rPr>
              <w:t>apoyo</w:t>
            </w:r>
          </w:p>
          <w:p>
            <w:pPr>
              <w:pStyle w:val="TableParagraph"/>
              <w:tabs>
                <w:tab w:pos="1237" w:val="left" w:leader="none"/>
                <w:tab w:pos="1640" w:val="left" w:leader="none"/>
              </w:tabs>
              <w:spacing w:line="242" w:lineRule="exact"/>
              <w:ind w:left="69"/>
              <w:rPr>
                <w:sz w:val="20"/>
              </w:rPr>
            </w:pPr>
            <w:r>
              <w:rPr>
                <w:sz w:val="20"/>
              </w:rPr>
              <w:t>ministerial</w:t>
              <w:tab/>
              <w:t>y</w:t>
              <w:tab/>
              <w:t>de</w:t>
            </w:r>
          </w:p>
        </w:tc>
        <w:tc>
          <w:tcPr>
            <w:tcW w:w="1531" w:type="dxa"/>
            <w:tcBorders>
              <w:bottom w:val="nil"/>
            </w:tcBorders>
            <w:shd w:val="clear" w:color="auto" w:fill="FFF1CC"/>
          </w:tcPr>
          <w:p>
            <w:pPr>
              <w:pStyle w:val="TableParagraph"/>
              <w:ind w:left="69"/>
              <w:rPr>
                <w:sz w:val="20"/>
              </w:rPr>
            </w:pPr>
            <w:r>
              <w:rPr>
                <w:sz w:val="20"/>
              </w:rPr>
              <w:t>Sistema </w:t>
            </w:r>
            <w:r>
              <w:rPr>
                <w:w w:val="95"/>
                <w:sz w:val="20"/>
              </w:rPr>
              <w:t>computarizado</w:t>
            </w:r>
          </w:p>
          <w:p>
            <w:pPr>
              <w:pStyle w:val="TableParagraph"/>
              <w:spacing w:line="242" w:lineRule="exact"/>
              <w:ind w:left="69"/>
              <w:rPr>
                <w:sz w:val="20"/>
              </w:rPr>
            </w:pPr>
            <w:r>
              <w:rPr>
                <w:sz w:val="20"/>
              </w:rPr>
              <w:t>en</w:t>
            </w:r>
          </w:p>
        </w:tc>
      </w:tr>
      <w:tr>
        <w:trPr>
          <w:trHeight w:val="244" w:hRule="atLeast"/>
        </w:trPr>
        <w:tc>
          <w:tcPr>
            <w:tcW w:w="2175" w:type="dxa"/>
            <w:tcBorders>
              <w:top w:val="nil"/>
              <w:bottom w:val="nil"/>
            </w:tcBorders>
            <w:shd w:val="clear" w:color="auto" w:fill="FFF1CC"/>
          </w:tcPr>
          <w:p>
            <w:pPr>
              <w:pStyle w:val="TableParagraph"/>
              <w:rPr>
                <w:rFonts w:ascii="Times New Roman"/>
                <w:sz w:val="16"/>
              </w:rPr>
            </w:pPr>
          </w:p>
        </w:tc>
        <w:tc>
          <w:tcPr>
            <w:tcW w:w="1793" w:type="dxa"/>
            <w:tcBorders>
              <w:top w:val="nil"/>
              <w:bottom w:val="nil"/>
            </w:tcBorders>
            <w:shd w:val="clear" w:color="auto" w:fill="FFF1CC"/>
          </w:tcPr>
          <w:p>
            <w:pPr>
              <w:pStyle w:val="TableParagraph"/>
              <w:rPr>
                <w:rFonts w:ascii="Times New Roman"/>
                <w:sz w:val="16"/>
              </w:rPr>
            </w:pPr>
          </w:p>
        </w:tc>
        <w:tc>
          <w:tcPr>
            <w:tcW w:w="1793" w:type="dxa"/>
            <w:tcBorders>
              <w:top w:val="nil"/>
              <w:bottom w:val="nil"/>
            </w:tcBorders>
            <w:shd w:val="clear" w:color="auto" w:fill="FFF1CC"/>
          </w:tcPr>
          <w:p>
            <w:pPr>
              <w:pStyle w:val="TableParagraph"/>
              <w:spacing w:line="225" w:lineRule="exact"/>
              <w:ind w:left="69"/>
              <w:rPr>
                <w:sz w:val="20"/>
              </w:rPr>
            </w:pPr>
            <w:r>
              <w:rPr>
                <w:sz w:val="20"/>
              </w:rPr>
              <w:t>administrativo/fina</w:t>
            </w:r>
          </w:p>
        </w:tc>
        <w:tc>
          <w:tcPr>
            <w:tcW w:w="1920" w:type="dxa"/>
            <w:tcBorders>
              <w:top w:val="nil"/>
              <w:bottom w:val="nil"/>
            </w:tcBorders>
            <w:shd w:val="clear" w:color="auto" w:fill="FFF1CC"/>
          </w:tcPr>
          <w:p>
            <w:pPr>
              <w:pStyle w:val="TableParagraph"/>
              <w:spacing w:line="225" w:lineRule="exact"/>
              <w:ind w:left="69"/>
              <w:rPr>
                <w:sz w:val="20"/>
              </w:rPr>
            </w:pPr>
            <w:r>
              <w:rPr>
                <w:sz w:val="20"/>
              </w:rPr>
              <w:t>especialistas externos</w:t>
            </w:r>
          </w:p>
        </w:tc>
        <w:tc>
          <w:tcPr>
            <w:tcW w:w="1531" w:type="dxa"/>
            <w:tcBorders>
              <w:top w:val="nil"/>
              <w:bottom w:val="nil"/>
            </w:tcBorders>
            <w:shd w:val="clear" w:color="auto" w:fill="FFF1CC"/>
          </w:tcPr>
          <w:p>
            <w:pPr>
              <w:pStyle w:val="TableParagraph"/>
              <w:spacing w:line="225" w:lineRule="exact"/>
              <w:ind w:left="69"/>
              <w:rPr>
                <w:sz w:val="20"/>
              </w:rPr>
            </w:pPr>
            <w:r>
              <w:rPr>
                <w:sz w:val="20"/>
              </w:rPr>
              <w:t>funcionamiento</w:t>
            </w:r>
          </w:p>
        </w:tc>
      </w:tr>
      <w:tr>
        <w:trPr>
          <w:trHeight w:val="243" w:hRule="atLeast"/>
        </w:trPr>
        <w:tc>
          <w:tcPr>
            <w:tcW w:w="2175" w:type="dxa"/>
            <w:tcBorders>
              <w:top w:val="nil"/>
              <w:bottom w:val="nil"/>
            </w:tcBorders>
            <w:shd w:val="clear" w:color="auto" w:fill="FFF1CC"/>
          </w:tcPr>
          <w:p>
            <w:pPr>
              <w:pStyle w:val="TableParagraph"/>
              <w:rPr>
                <w:rFonts w:ascii="Times New Roman"/>
                <w:sz w:val="16"/>
              </w:rPr>
            </w:pPr>
          </w:p>
        </w:tc>
        <w:tc>
          <w:tcPr>
            <w:tcW w:w="1793" w:type="dxa"/>
            <w:tcBorders>
              <w:top w:val="nil"/>
              <w:bottom w:val="nil"/>
            </w:tcBorders>
            <w:shd w:val="clear" w:color="auto" w:fill="FFF1CC"/>
          </w:tcPr>
          <w:p>
            <w:pPr>
              <w:pStyle w:val="TableParagraph"/>
              <w:rPr>
                <w:rFonts w:ascii="Times New Roman"/>
                <w:sz w:val="16"/>
              </w:rPr>
            </w:pPr>
          </w:p>
        </w:tc>
        <w:tc>
          <w:tcPr>
            <w:tcW w:w="1793" w:type="dxa"/>
            <w:tcBorders>
              <w:top w:val="nil"/>
              <w:bottom w:val="nil"/>
            </w:tcBorders>
            <w:shd w:val="clear" w:color="auto" w:fill="FFF1CC"/>
          </w:tcPr>
          <w:p>
            <w:pPr>
              <w:pStyle w:val="TableParagraph"/>
              <w:tabs>
                <w:tab w:pos="1441" w:val="left" w:leader="none"/>
              </w:tabs>
              <w:spacing w:line="224" w:lineRule="exact"/>
              <w:ind w:left="69"/>
              <w:rPr>
                <w:sz w:val="20"/>
              </w:rPr>
            </w:pPr>
            <w:r>
              <w:rPr>
                <w:sz w:val="20"/>
              </w:rPr>
              <w:t>nciera</w:t>
              <w:tab/>
              <w:t>por</w:t>
            </w:r>
          </w:p>
        </w:tc>
        <w:tc>
          <w:tcPr>
            <w:tcW w:w="1920" w:type="dxa"/>
            <w:tcBorders>
              <w:top w:val="nil"/>
              <w:bottom w:val="nil"/>
            </w:tcBorders>
            <w:shd w:val="clear" w:color="auto" w:fill="FFF1CC"/>
          </w:tcPr>
          <w:p>
            <w:pPr>
              <w:pStyle w:val="TableParagraph"/>
              <w:rPr>
                <w:rFonts w:ascii="Times New Roman"/>
                <w:sz w:val="16"/>
              </w:rPr>
            </w:pPr>
          </w:p>
        </w:tc>
        <w:tc>
          <w:tcPr>
            <w:tcW w:w="1531" w:type="dxa"/>
            <w:tcBorders>
              <w:top w:val="nil"/>
              <w:bottom w:val="nil"/>
            </w:tcBorders>
            <w:shd w:val="clear" w:color="auto" w:fill="FFF1CC"/>
          </w:tcPr>
          <w:p>
            <w:pPr>
              <w:pStyle w:val="TableParagraph"/>
              <w:rPr>
                <w:rFonts w:ascii="Times New Roman"/>
                <w:sz w:val="16"/>
              </w:rPr>
            </w:pPr>
          </w:p>
        </w:tc>
      </w:tr>
      <w:tr>
        <w:trPr>
          <w:trHeight w:val="243" w:hRule="atLeast"/>
        </w:trPr>
        <w:tc>
          <w:tcPr>
            <w:tcW w:w="2175" w:type="dxa"/>
            <w:tcBorders>
              <w:top w:val="nil"/>
              <w:bottom w:val="nil"/>
            </w:tcBorders>
            <w:shd w:val="clear" w:color="auto" w:fill="FFF1CC"/>
          </w:tcPr>
          <w:p>
            <w:pPr>
              <w:pStyle w:val="TableParagraph"/>
              <w:rPr>
                <w:rFonts w:ascii="Times New Roman"/>
                <w:sz w:val="16"/>
              </w:rPr>
            </w:pPr>
          </w:p>
        </w:tc>
        <w:tc>
          <w:tcPr>
            <w:tcW w:w="1793" w:type="dxa"/>
            <w:tcBorders>
              <w:top w:val="nil"/>
              <w:bottom w:val="nil"/>
            </w:tcBorders>
            <w:shd w:val="clear" w:color="auto" w:fill="FFF1CC"/>
          </w:tcPr>
          <w:p>
            <w:pPr>
              <w:pStyle w:val="TableParagraph"/>
              <w:rPr>
                <w:rFonts w:ascii="Times New Roman"/>
                <w:sz w:val="16"/>
              </w:rPr>
            </w:pPr>
          </w:p>
        </w:tc>
        <w:tc>
          <w:tcPr>
            <w:tcW w:w="1793" w:type="dxa"/>
            <w:tcBorders>
              <w:top w:val="nil"/>
              <w:bottom w:val="nil"/>
            </w:tcBorders>
            <w:shd w:val="clear" w:color="auto" w:fill="FFF1CC"/>
          </w:tcPr>
          <w:p>
            <w:pPr>
              <w:pStyle w:val="TableParagraph"/>
              <w:spacing w:line="224" w:lineRule="exact"/>
              <w:ind w:left="69"/>
              <w:rPr>
                <w:sz w:val="20"/>
              </w:rPr>
            </w:pPr>
            <w:r>
              <w:rPr>
                <w:sz w:val="20"/>
              </w:rPr>
              <w:t>resultados eficiente</w:t>
            </w:r>
          </w:p>
        </w:tc>
        <w:tc>
          <w:tcPr>
            <w:tcW w:w="1920" w:type="dxa"/>
            <w:tcBorders>
              <w:top w:val="nil"/>
              <w:bottom w:val="nil"/>
            </w:tcBorders>
            <w:shd w:val="clear" w:color="auto" w:fill="FFF1CC"/>
          </w:tcPr>
          <w:p>
            <w:pPr>
              <w:pStyle w:val="TableParagraph"/>
              <w:rPr>
                <w:rFonts w:ascii="Times New Roman"/>
                <w:sz w:val="16"/>
              </w:rPr>
            </w:pPr>
          </w:p>
        </w:tc>
        <w:tc>
          <w:tcPr>
            <w:tcW w:w="1531" w:type="dxa"/>
            <w:tcBorders>
              <w:top w:val="nil"/>
              <w:bottom w:val="nil"/>
            </w:tcBorders>
            <w:shd w:val="clear" w:color="auto" w:fill="FFF1CC"/>
          </w:tcPr>
          <w:p>
            <w:pPr>
              <w:pStyle w:val="TableParagraph"/>
              <w:rPr>
                <w:rFonts w:ascii="Times New Roman"/>
                <w:sz w:val="16"/>
              </w:rPr>
            </w:pPr>
          </w:p>
        </w:tc>
      </w:tr>
      <w:tr>
        <w:trPr>
          <w:trHeight w:val="227" w:hRule="atLeast"/>
        </w:trPr>
        <w:tc>
          <w:tcPr>
            <w:tcW w:w="2175" w:type="dxa"/>
            <w:tcBorders>
              <w:top w:val="nil"/>
            </w:tcBorders>
            <w:shd w:val="clear" w:color="auto" w:fill="FFF1CC"/>
          </w:tcPr>
          <w:p>
            <w:pPr>
              <w:pStyle w:val="TableParagraph"/>
              <w:rPr>
                <w:rFonts w:ascii="Times New Roman"/>
                <w:sz w:val="16"/>
              </w:rPr>
            </w:pPr>
          </w:p>
        </w:tc>
        <w:tc>
          <w:tcPr>
            <w:tcW w:w="1793" w:type="dxa"/>
            <w:tcBorders>
              <w:top w:val="nil"/>
            </w:tcBorders>
            <w:shd w:val="clear" w:color="auto" w:fill="FFF1CC"/>
          </w:tcPr>
          <w:p>
            <w:pPr>
              <w:pStyle w:val="TableParagraph"/>
              <w:rPr>
                <w:rFonts w:ascii="Times New Roman"/>
                <w:sz w:val="16"/>
              </w:rPr>
            </w:pPr>
          </w:p>
        </w:tc>
        <w:tc>
          <w:tcPr>
            <w:tcW w:w="1793" w:type="dxa"/>
            <w:tcBorders>
              <w:top w:val="nil"/>
            </w:tcBorders>
            <w:shd w:val="clear" w:color="auto" w:fill="FFF1CC"/>
          </w:tcPr>
          <w:p>
            <w:pPr>
              <w:pStyle w:val="TableParagraph"/>
              <w:spacing w:line="207" w:lineRule="exact"/>
              <w:ind w:left="69"/>
              <w:rPr>
                <w:sz w:val="20"/>
              </w:rPr>
            </w:pPr>
            <w:r>
              <w:rPr>
                <w:sz w:val="20"/>
              </w:rPr>
              <w:t>y transparente</w:t>
            </w:r>
          </w:p>
        </w:tc>
        <w:tc>
          <w:tcPr>
            <w:tcW w:w="1920" w:type="dxa"/>
            <w:tcBorders>
              <w:top w:val="nil"/>
            </w:tcBorders>
            <w:shd w:val="clear" w:color="auto" w:fill="FFF1CC"/>
          </w:tcPr>
          <w:p>
            <w:pPr>
              <w:pStyle w:val="TableParagraph"/>
              <w:rPr>
                <w:rFonts w:ascii="Times New Roman"/>
                <w:sz w:val="16"/>
              </w:rPr>
            </w:pPr>
          </w:p>
        </w:tc>
        <w:tc>
          <w:tcPr>
            <w:tcW w:w="1531" w:type="dxa"/>
            <w:tcBorders>
              <w:top w:val="nil"/>
            </w:tcBorders>
            <w:shd w:val="clear" w:color="auto" w:fill="FFF1CC"/>
          </w:tcPr>
          <w:p>
            <w:pPr>
              <w:pStyle w:val="TableParagraph"/>
              <w:rPr>
                <w:rFonts w:ascii="Times New Roman"/>
                <w:sz w:val="16"/>
              </w:rPr>
            </w:pPr>
          </w:p>
        </w:tc>
      </w:tr>
    </w:tbl>
    <w:p>
      <w:pPr>
        <w:pStyle w:val="BodyText"/>
        <w:rPr>
          <w:rFonts w:ascii="Calibri"/>
          <w:b/>
          <w:sz w:val="20"/>
        </w:rPr>
      </w:pPr>
    </w:p>
    <w:p>
      <w:pPr>
        <w:pStyle w:val="BodyText"/>
        <w:spacing w:before="2"/>
        <w:rPr>
          <w:rFonts w:ascii="Calibri"/>
          <w:b/>
          <w:sz w:val="19"/>
        </w:rPr>
      </w:pPr>
    </w:p>
    <w:p>
      <w:pPr>
        <w:pStyle w:val="BodyText"/>
        <w:spacing w:line="276" w:lineRule="auto"/>
        <w:ind w:left="1082" w:right="855"/>
        <w:jc w:val="both"/>
      </w:pPr>
      <w:r>
        <w:rPr/>
        <w:t>El posicionamiento de la UNIBOL quechua como referencia en el ámbito académico debe tener su correlato en lo administrativo y en su funcionamiento, mostrando una imagen de integridad acorde a los principios de la Nación quechua y de los pueblos IOCs que la sustentan. En este orden deberán realizarse todas las medidas para tener implementado un sistema ágil, confiable y transparente de administración y control en el desenvolvimiento de la Yachayllajta UNIBOL, tanto en el campus Chimoré en la administración de los requerimientos financieros y logísticos del desarrollo académico, como del vivir bien para los actores de la residencia y en la consolidación de su accionar territorial en otras jurisdicciones.</w:t>
      </w:r>
    </w:p>
    <w:p>
      <w:pPr>
        <w:pStyle w:val="BodyText"/>
        <w:spacing w:line="276" w:lineRule="auto" w:before="201"/>
        <w:ind w:left="1082" w:right="847"/>
        <w:jc w:val="both"/>
      </w:pPr>
      <w:r>
        <w:rPr/>
        <w:t>La ejecución administrativo financiera tendrá un soporte de registro digital y documental como de pertinente gasto, de forma que oportuna y sólidamente pueda ser objeto de fiscalización por el Sistema administrativo y de control, como de control social, superando positivamente los controles administrativo financieros estatales vigentes para este tipo de institución cada año y a lo largo del quinquenio. La vigencia y el control internos, requiere a la vez un conocimiento del sistema, las normativas y procedimiento por el mayor número posible de actores intra institucionales, de forma que no se tenga la fragilidad típica de las entidades estatales de depender de un reducido grupo de especialistas que a la  larga significan un severo cuello de botella o de transgresión según el caso; en previsión de ello se desarrolla permanentemente vía ciclos anuales de capacitación/actualización en gestión pública y administrativa y Talleres ejecutados con los actores de UNIBOL con el apoyo interministerial necesario que además del entrenamiento, signifique el desarrollo de soluciones y resoluciones que permitan corresponder entre la gestión financiera administrativa con el tipo especial de requerimientos que corresponde a una institución única en su género y método de acción.</w:t>
      </w:r>
    </w:p>
    <w:p>
      <w:pPr>
        <w:spacing w:after="0" w:line="276" w:lineRule="auto"/>
        <w:jc w:val="both"/>
        <w:sectPr>
          <w:pgSz w:w="11910" w:h="16840"/>
          <w:pgMar w:header="0" w:footer="922" w:top="1580" w:bottom="1200" w:left="620" w:right="280"/>
        </w:sectPr>
      </w:pPr>
    </w:p>
    <w:p>
      <w:pPr>
        <w:pStyle w:val="BodyText"/>
        <w:spacing w:before="3"/>
      </w:pPr>
    </w:p>
    <w:p>
      <w:pPr>
        <w:spacing w:before="59"/>
        <w:ind w:left="1082" w:right="0" w:firstLine="0"/>
        <w:jc w:val="both"/>
        <w:rPr>
          <w:rFonts w:ascii="Calibri"/>
          <w:b/>
          <w:sz w:val="20"/>
        </w:rPr>
      </w:pPr>
      <w:r>
        <w:rPr>
          <w:rFonts w:ascii="Calibri"/>
          <w:b/>
          <w:sz w:val="20"/>
        </w:rPr>
        <w:t>LINEA DE ACCION 8: SISTEMA INFORMATICO ACADEMICO (SICAH)</w:t>
      </w:r>
    </w:p>
    <w:p>
      <w:pPr>
        <w:pStyle w:val="BodyText"/>
        <w:spacing w:before="2"/>
        <w:rPr>
          <w:rFonts w:ascii="Calibri"/>
          <w:b/>
          <w:sz w:val="19"/>
        </w:rPr>
      </w:pPr>
    </w:p>
    <w:tbl>
      <w:tblPr>
        <w:tblW w:w="0" w:type="auto"/>
        <w:jc w:val="left"/>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808"/>
        <w:gridCol w:w="2041"/>
        <w:gridCol w:w="1777"/>
        <w:gridCol w:w="1517"/>
      </w:tblGrid>
      <w:tr>
        <w:trPr>
          <w:trHeight w:val="762" w:hRule="atLeast"/>
        </w:trPr>
        <w:tc>
          <w:tcPr>
            <w:tcW w:w="2059" w:type="dxa"/>
            <w:shd w:val="clear" w:color="auto" w:fill="FFFF00"/>
          </w:tcPr>
          <w:p>
            <w:pPr>
              <w:pStyle w:val="TableParagraph"/>
              <w:spacing w:before="1"/>
              <w:ind w:left="479"/>
              <w:rPr>
                <w:b/>
                <w:sz w:val="20"/>
              </w:rPr>
            </w:pPr>
            <w:r>
              <w:rPr>
                <w:b/>
                <w:sz w:val="20"/>
              </w:rPr>
              <w:t>RESULTADOS</w:t>
            </w:r>
          </w:p>
        </w:tc>
        <w:tc>
          <w:tcPr>
            <w:tcW w:w="1808" w:type="dxa"/>
            <w:shd w:val="clear" w:color="auto" w:fill="FFFF00"/>
          </w:tcPr>
          <w:p>
            <w:pPr>
              <w:pStyle w:val="TableParagraph"/>
              <w:spacing w:line="278" w:lineRule="auto"/>
              <w:ind w:left="331" w:firstLine="91"/>
              <w:rPr>
                <w:b/>
                <w:sz w:val="20"/>
              </w:rPr>
            </w:pPr>
            <w:r>
              <w:rPr>
                <w:b/>
                <w:sz w:val="20"/>
              </w:rPr>
              <w:t>INDICADOR </w:t>
            </w:r>
            <w:r>
              <w:rPr>
                <w:b/>
                <w:w w:val="95"/>
                <w:sz w:val="20"/>
              </w:rPr>
              <w:t>ESTRATÉGICO</w:t>
            </w:r>
          </w:p>
        </w:tc>
        <w:tc>
          <w:tcPr>
            <w:tcW w:w="2041" w:type="dxa"/>
            <w:shd w:val="clear" w:color="auto" w:fill="FFFF00"/>
          </w:tcPr>
          <w:p>
            <w:pPr>
              <w:pStyle w:val="TableParagraph"/>
              <w:spacing w:before="1"/>
              <w:ind w:left="460"/>
              <w:rPr>
                <w:b/>
                <w:sz w:val="20"/>
              </w:rPr>
            </w:pPr>
            <w:r>
              <w:rPr>
                <w:b/>
                <w:sz w:val="20"/>
              </w:rPr>
              <w:t>ACTIVIDADES</w:t>
            </w:r>
          </w:p>
        </w:tc>
        <w:tc>
          <w:tcPr>
            <w:tcW w:w="1777" w:type="dxa"/>
            <w:shd w:val="clear" w:color="auto" w:fill="FFFF00"/>
          </w:tcPr>
          <w:p>
            <w:pPr>
              <w:pStyle w:val="TableParagraph"/>
              <w:spacing w:before="1"/>
              <w:ind w:left="241"/>
              <w:rPr>
                <w:b/>
                <w:sz w:val="20"/>
              </w:rPr>
            </w:pPr>
            <w:r>
              <w:rPr>
                <w:b/>
                <w:sz w:val="20"/>
              </w:rPr>
              <w:t>METODOLOGIA</w:t>
            </w:r>
          </w:p>
        </w:tc>
        <w:tc>
          <w:tcPr>
            <w:tcW w:w="1517" w:type="dxa"/>
            <w:shd w:val="clear" w:color="auto" w:fill="FFFF00"/>
          </w:tcPr>
          <w:p>
            <w:pPr>
              <w:pStyle w:val="TableParagraph"/>
              <w:spacing w:before="1"/>
              <w:ind w:left="176"/>
              <w:rPr>
                <w:b/>
                <w:sz w:val="20"/>
              </w:rPr>
            </w:pPr>
            <w:r>
              <w:rPr>
                <w:b/>
                <w:sz w:val="20"/>
              </w:rPr>
              <w:t>INDICADORES</w:t>
            </w:r>
          </w:p>
        </w:tc>
      </w:tr>
      <w:tr>
        <w:trPr>
          <w:trHeight w:val="261" w:hRule="atLeast"/>
        </w:trPr>
        <w:tc>
          <w:tcPr>
            <w:tcW w:w="2059" w:type="dxa"/>
            <w:tcBorders>
              <w:bottom w:val="nil"/>
            </w:tcBorders>
            <w:shd w:val="clear" w:color="auto" w:fill="FFF1CC"/>
          </w:tcPr>
          <w:p>
            <w:pPr>
              <w:pStyle w:val="TableParagraph"/>
              <w:spacing w:line="242" w:lineRule="exact"/>
              <w:ind w:left="69"/>
              <w:rPr>
                <w:sz w:val="20"/>
              </w:rPr>
            </w:pPr>
            <w:r>
              <w:rPr>
                <w:sz w:val="20"/>
              </w:rPr>
              <w:t>8. Los estudiantes</w:t>
            </w:r>
          </w:p>
        </w:tc>
        <w:tc>
          <w:tcPr>
            <w:tcW w:w="1808" w:type="dxa"/>
            <w:tcBorders>
              <w:bottom w:val="nil"/>
            </w:tcBorders>
            <w:shd w:val="clear" w:color="auto" w:fill="FFF1CC"/>
          </w:tcPr>
          <w:p>
            <w:pPr>
              <w:pStyle w:val="TableParagraph"/>
              <w:spacing w:line="242" w:lineRule="exact"/>
              <w:ind w:left="69"/>
              <w:rPr>
                <w:sz w:val="20"/>
              </w:rPr>
            </w:pPr>
            <w:r>
              <w:rPr>
                <w:sz w:val="20"/>
              </w:rPr>
              <w:t>Los datos</w:t>
            </w:r>
          </w:p>
        </w:tc>
        <w:tc>
          <w:tcPr>
            <w:tcW w:w="2041" w:type="dxa"/>
            <w:tcBorders>
              <w:bottom w:val="nil"/>
            </w:tcBorders>
            <w:shd w:val="clear" w:color="auto" w:fill="FFF1CC"/>
          </w:tcPr>
          <w:p>
            <w:pPr>
              <w:pStyle w:val="TableParagraph"/>
              <w:spacing w:line="242" w:lineRule="exact"/>
              <w:ind w:left="69"/>
              <w:rPr>
                <w:sz w:val="20"/>
              </w:rPr>
            </w:pPr>
            <w:r>
              <w:rPr>
                <w:sz w:val="20"/>
              </w:rPr>
              <w:t>27. Admisión de</w:t>
            </w:r>
          </w:p>
        </w:tc>
        <w:tc>
          <w:tcPr>
            <w:tcW w:w="1777" w:type="dxa"/>
            <w:tcBorders>
              <w:bottom w:val="nil"/>
            </w:tcBorders>
            <w:shd w:val="clear" w:color="auto" w:fill="FFF1CC"/>
          </w:tcPr>
          <w:p>
            <w:pPr>
              <w:pStyle w:val="TableParagraph"/>
              <w:spacing w:line="242" w:lineRule="exact"/>
              <w:ind w:left="68"/>
              <w:rPr>
                <w:sz w:val="20"/>
              </w:rPr>
            </w:pPr>
            <w:r>
              <w:rPr>
                <w:sz w:val="20"/>
              </w:rPr>
              <w:t>Admisión según</w:t>
            </w:r>
          </w:p>
        </w:tc>
        <w:tc>
          <w:tcPr>
            <w:tcW w:w="1517" w:type="dxa"/>
            <w:tcBorders>
              <w:bottom w:val="nil"/>
            </w:tcBorders>
            <w:shd w:val="clear" w:color="auto" w:fill="FFF1CC"/>
          </w:tcPr>
          <w:p>
            <w:pPr>
              <w:pStyle w:val="TableParagraph"/>
              <w:spacing w:line="242" w:lineRule="exact"/>
              <w:ind w:left="68"/>
              <w:rPr>
                <w:sz w:val="20"/>
              </w:rPr>
            </w:pPr>
            <w:r>
              <w:rPr>
                <w:sz w:val="20"/>
              </w:rPr>
              <w:t>Sistema</w:t>
            </w:r>
          </w:p>
        </w:tc>
      </w:tr>
      <w:tr>
        <w:trPr>
          <w:trHeight w:val="243" w:hRule="atLeast"/>
        </w:trPr>
        <w:tc>
          <w:tcPr>
            <w:tcW w:w="2059" w:type="dxa"/>
            <w:tcBorders>
              <w:top w:val="nil"/>
              <w:bottom w:val="nil"/>
            </w:tcBorders>
            <w:shd w:val="clear" w:color="auto" w:fill="FFF1CC"/>
          </w:tcPr>
          <w:p>
            <w:pPr>
              <w:pStyle w:val="TableParagraph"/>
              <w:spacing w:line="224" w:lineRule="exact"/>
              <w:ind w:left="69"/>
              <w:rPr>
                <w:sz w:val="20"/>
              </w:rPr>
            </w:pPr>
            <w:r>
              <w:rPr>
                <w:sz w:val="20"/>
              </w:rPr>
              <w:t>/docentes cuentan con</w:t>
            </w:r>
          </w:p>
        </w:tc>
        <w:tc>
          <w:tcPr>
            <w:tcW w:w="1808" w:type="dxa"/>
            <w:tcBorders>
              <w:top w:val="nil"/>
              <w:bottom w:val="nil"/>
            </w:tcBorders>
            <w:shd w:val="clear" w:color="auto" w:fill="FFF1CC"/>
          </w:tcPr>
          <w:p>
            <w:pPr>
              <w:pStyle w:val="TableParagraph"/>
              <w:spacing w:line="224" w:lineRule="exact"/>
              <w:ind w:left="69"/>
              <w:rPr>
                <w:sz w:val="20"/>
              </w:rPr>
            </w:pPr>
            <w:r>
              <w:rPr>
                <w:sz w:val="20"/>
              </w:rPr>
              <w:t>académicos y de</w:t>
            </w:r>
          </w:p>
        </w:tc>
        <w:tc>
          <w:tcPr>
            <w:tcW w:w="2041" w:type="dxa"/>
            <w:tcBorders>
              <w:top w:val="nil"/>
              <w:bottom w:val="nil"/>
            </w:tcBorders>
            <w:shd w:val="clear" w:color="auto" w:fill="FFF1CC"/>
          </w:tcPr>
          <w:p>
            <w:pPr>
              <w:pStyle w:val="TableParagraph"/>
              <w:spacing w:line="224" w:lineRule="exact"/>
              <w:ind w:left="69"/>
              <w:rPr>
                <w:sz w:val="20"/>
              </w:rPr>
            </w:pPr>
            <w:r>
              <w:rPr>
                <w:sz w:val="20"/>
              </w:rPr>
              <w:t>aspirantes del sistema</w:t>
            </w:r>
          </w:p>
        </w:tc>
        <w:tc>
          <w:tcPr>
            <w:tcW w:w="1777" w:type="dxa"/>
            <w:tcBorders>
              <w:top w:val="nil"/>
              <w:bottom w:val="nil"/>
            </w:tcBorders>
            <w:shd w:val="clear" w:color="auto" w:fill="FFF1CC"/>
          </w:tcPr>
          <w:p>
            <w:pPr>
              <w:pStyle w:val="TableParagraph"/>
              <w:spacing w:line="224" w:lineRule="exact"/>
              <w:ind w:left="68"/>
              <w:rPr>
                <w:sz w:val="20"/>
              </w:rPr>
            </w:pPr>
            <w:r>
              <w:rPr>
                <w:sz w:val="20"/>
              </w:rPr>
              <w:t>requisitos</w:t>
            </w:r>
          </w:p>
        </w:tc>
        <w:tc>
          <w:tcPr>
            <w:tcW w:w="1517" w:type="dxa"/>
            <w:tcBorders>
              <w:top w:val="nil"/>
              <w:bottom w:val="nil"/>
            </w:tcBorders>
            <w:shd w:val="clear" w:color="auto" w:fill="FFF1CC"/>
          </w:tcPr>
          <w:p>
            <w:pPr>
              <w:pStyle w:val="TableParagraph"/>
              <w:spacing w:line="224" w:lineRule="exact"/>
              <w:ind w:left="68"/>
              <w:rPr>
                <w:sz w:val="20"/>
              </w:rPr>
            </w:pPr>
            <w:r>
              <w:rPr>
                <w:sz w:val="20"/>
              </w:rPr>
              <w:t>computarizado</w:t>
            </w:r>
          </w:p>
        </w:tc>
      </w:tr>
      <w:tr>
        <w:trPr>
          <w:trHeight w:val="243" w:hRule="atLeast"/>
        </w:trPr>
        <w:tc>
          <w:tcPr>
            <w:tcW w:w="2059" w:type="dxa"/>
            <w:tcBorders>
              <w:top w:val="nil"/>
              <w:bottom w:val="nil"/>
            </w:tcBorders>
            <w:shd w:val="clear" w:color="auto" w:fill="FFF1CC"/>
          </w:tcPr>
          <w:p>
            <w:pPr>
              <w:pStyle w:val="TableParagraph"/>
              <w:spacing w:line="224" w:lineRule="exact"/>
              <w:ind w:left="69"/>
              <w:rPr>
                <w:sz w:val="20"/>
              </w:rPr>
            </w:pPr>
            <w:r>
              <w:rPr>
                <w:sz w:val="20"/>
              </w:rPr>
              <w:t>un sistema de registro</w:t>
            </w:r>
          </w:p>
        </w:tc>
        <w:tc>
          <w:tcPr>
            <w:tcW w:w="1808" w:type="dxa"/>
            <w:tcBorders>
              <w:top w:val="nil"/>
              <w:bottom w:val="nil"/>
            </w:tcBorders>
            <w:shd w:val="clear" w:color="auto" w:fill="FFF1CC"/>
          </w:tcPr>
          <w:p>
            <w:pPr>
              <w:pStyle w:val="TableParagraph"/>
              <w:spacing w:line="224" w:lineRule="exact"/>
              <w:ind w:left="69"/>
              <w:rPr>
                <w:sz w:val="20"/>
              </w:rPr>
            </w:pPr>
            <w:r>
              <w:rPr>
                <w:sz w:val="20"/>
              </w:rPr>
              <w:t>registro</w:t>
            </w:r>
          </w:p>
        </w:tc>
        <w:tc>
          <w:tcPr>
            <w:tcW w:w="2041" w:type="dxa"/>
            <w:tcBorders>
              <w:top w:val="nil"/>
              <w:bottom w:val="nil"/>
            </w:tcBorders>
            <w:shd w:val="clear" w:color="auto" w:fill="FFF1CC"/>
          </w:tcPr>
          <w:p>
            <w:pPr>
              <w:pStyle w:val="TableParagraph"/>
              <w:spacing w:line="224" w:lineRule="exact"/>
              <w:ind w:left="69"/>
              <w:rPr>
                <w:sz w:val="20"/>
              </w:rPr>
            </w:pPr>
            <w:r>
              <w:rPr>
                <w:sz w:val="20"/>
              </w:rPr>
              <w:t>AJLLAS Y por gestión</w:t>
            </w:r>
          </w:p>
        </w:tc>
        <w:tc>
          <w:tcPr>
            <w:tcW w:w="1777" w:type="dxa"/>
            <w:tcBorders>
              <w:top w:val="nil"/>
              <w:bottom w:val="nil"/>
            </w:tcBorders>
            <w:shd w:val="clear" w:color="auto" w:fill="FFF1CC"/>
          </w:tcPr>
          <w:p>
            <w:pPr>
              <w:pStyle w:val="TableParagraph"/>
              <w:spacing w:line="224" w:lineRule="exact"/>
              <w:ind w:left="68"/>
              <w:rPr>
                <w:sz w:val="20"/>
              </w:rPr>
            </w:pPr>
            <w:r>
              <w:rPr>
                <w:sz w:val="20"/>
              </w:rPr>
              <w:t>establecidos en</w:t>
            </w:r>
          </w:p>
        </w:tc>
        <w:tc>
          <w:tcPr>
            <w:tcW w:w="1517" w:type="dxa"/>
            <w:tcBorders>
              <w:top w:val="nil"/>
              <w:bottom w:val="nil"/>
            </w:tcBorders>
            <w:shd w:val="clear" w:color="auto" w:fill="FFF1CC"/>
          </w:tcPr>
          <w:p>
            <w:pPr>
              <w:pStyle w:val="TableParagraph"/>
              <w:spacing w:line="224" w:lineRule="exact"/>
              <w:ind w:left="68"/>
              <w:rPr>
                <w:sz w:val="20"/>
              </w:rPr>
            </w:pPr>
            <w:r>
              <w:rPr>
                <w:sz w:val="20"/>
              </w:rPr>
              <w:t>seguro, en</w:t>
            </w:r>
          </w:p>
        </w:tc>
      </w:tr>
      <w:tr>
        <w:trPr>
          <w:trHeight w:val="241" w:hRule="atLeast"/>
        </w:trPr>
        <w:tc>
          <w:tcPr>
            <w:tcW w:w="2059" w:type="dxa"/>
            <w:tcBorders>
              <w:top w:val="nil"/>
              <w:bottom w:val="nil"/>
            </w:tcBorders>
            <w:shd w:val="clear" w:color="auto" w:fill="FFF1CC"/>
          </w:tcPr>
          <w:p>
            <w:pPr>
              <w:pStyle w:val="TableParagraph"/>
              <w:spacing w:line="222" w:lineRule="exact"/>
              <w:ind w:left="69"/>
              <w:rPr>
                <w:sz w:val="20"/>
              </w:rPr>
            </w:pPr>
            <w:r>
              <w:rPr>
                <w:sz w:val="20"/>
              </w:rPr>
              <w:t>y seguimiento</w:t>
            </w:r>
          </w:p>
        </w:tc>
        <w:tc>
          <w:tcPr>
            <w:tcW w:w="1808" w:type="dxa"/>
            <w:tcBorders>
              <w:top w:val="nil"/>
              <w:bottom w:val="nil"/>
            </w:tcBorders>
            <w:shd w:val="clear" w:color="auto" w:fill="FFF1CC"/>
          </w:tcPr>
          <w:p>
            <w:pPr>
              <w:pStyle w:val="TableParagraph"/>
              <w:spacing w:line="222" w:lineRule="exact"/>
              <w:ind w:left="69"/>
              <w:rPr>
                <w:sz w:val="20"/>
              </w:rPr>
            </w:pPr>
            <w:r>
              <w:rPr>
                <w:sz w:val="20"/>
              </w:rPr>
              <w:t>administrativo de 5</w:t>
            </w:r>
          </w:p>
        </w:tc>
        <w:tc>
          <w:tcPr>
            <w:tcW w:w="2041" w:type="dxa"/>
            <w:tcBorders>
              <w:top w:val="nil"/>
            </w:tcBorders>
            <w:shd w:val="clear" w:color="auto" w:fill="FFF1CC"/>
          </w:tcPr>
          <w:p>
            <w:pPr>
              <w:pStyle w:val="TableParagraph"/>
              <w:spacing w:line="222" w:lineRule="exact"/>
              <w:ind w:left="69"/>
              <w:rPr>
                <w:sz w:val="20"/>
              </w:rPr>
            </w:pPr>
            <w:r>
              <w:rPr>
                <w:sz w:val="20"/>
              </w:rPr>
              <w:t>académica</w:t>
            </w:r>
          </w:p>
        </w:tc>
        <w:tc>
          <w:tcPr>
            <w:tcW w:w="1777" w:type="dxa"/>
            <w:tcBorders>
              <w:top w:val="nil"/>
            </w:tcBorders>
            <w:shd w:val="clear" w:color="auto" w:fill="FFF1CC"/>
          </w:tcPr>
          <w:p>
            <w:pPr>
              <w:pStyle w:val="TableParagraph"/>
              <w:spacing w:line="222" w:lineRule="exact"/>
              <w:ind w:left="68"/>
              <w:rPr>
                <w:sz w:val="20"/>
              </w:rPr>
            </w:pPr>
            <w:r>
              <w:rPr>
                <w:sz w:val="20"/>
              </w:rPr>
              <w:t>reglamento</w:t>
            </w:r>
          </w:p>
        </w:tc>
        <w:tc>
          <w:tcPr>
            <w:tcW w:w="1517" w:type="dxa"/>
            <w:tcBorders>
              <w:top w:val="nil"/>
            </w:tcBorders>
            <w:shd w:val="clear" w:color="auto" w:fill="FFF1CC"/>
          </w:tcPr>
          <w:p>
            <w:pPr>
              <w:pStyle w:val="TableParagraph"/>
              <w:spacing w:line="222" w:lineRule="exact"/>
              <w:ind w:left="68"/>
              <w:rPr>
                <w:sz w:val="20"/>
              </w:rPr>
            </w:pPr>
            <w:r>
              <w:rPr>
                <w:sz w:val="20"/>
              </w:rPr>
              <w:t>funcionamiento</w:t>
            </w:r>
          </w:p>
        </w:tc>
      </w:tr>
      <w:tr>
        <w:trPr>
          <w:trHeight w:val="250" w:hRule="atLeast"/>
        </w:trPr>
        <w:tc>
          <w:tcPr>
            <w:tcW w:w="2059" w:type="dxa"/>
            <w:tcBorders>
              <w:top w:val="nil"/>
              <w:bottom w:val="nil"/>
            </w:tcBorders>
            <w:shd w:val="clear" w:color="auto" w:fill="FFF1CC"/>
          </w:tcPr>
          <w:p>
            <w:pPr>
              <w:pStyle w:val="TableParagraph"/>
              <w:spacing w:line="219" w:lineRule="exact"/>
              <w:ind w:left="69"/>
              <w:rPr>
                <w:sz w:val="20"/>
              </w:rPr>
            </w:pPr>
            <w:r>
              <w:rPr>
                <w:sz w:val="20"/>
              </w:rPr>
              <w:t>accesible y confiable</w:t>
            </w:r>
          </w:p>
        </w:tc>
        <w:tc>
          <w:tcPr>
            <w:tcW w:w="1808" w:type="dxa"/>
            <w:tcBorders>
              <w:top w:val="nil"/>
              <w:bottom w:val="nil"/>
            </w:tcBorders>
            <w:shd w:val="clear" w:color="auto" w:fill="FFF1CC"/>
          </w:tcPr>
          <w:p>
            <w:pPr>
              <w:pStyle w:val="TableParagraph"/>
              <w:spacing w:line="219" w:lineRule="exact"/>
              <w:ind w:left="69"/>
              <w:rPr>
                <w:sz w:val="20"/>
              </w:rPr>
            </w:pPr>
            <w:r>
              <w:rPr>
                <w:sz w:val="20"/>
              </w:rPr>
              <w:t>años/estudiante de</w:t>
            </w:r>
          </w:p>
        </w:tc>
        <w:tc>
          <w:tcPr>
            <w:tcW w:w="2041" w:type="dxa"/>
            <w:tcBorders>
              <w:bottom w:val="nil"/>
            </w:tcBorders>
            <w:shd w:val="clear" w:color="auto" w:fill="FFF1CC"/>
          </w:tcPr>
          <w:p>
            <w:pPr>
              <w:pStyle w:val="TableParagraph"/>
              <w:spacing w:line="230" w:lineRule="exact"/>
              <w:ind w:left="69"/>
              <w:rPr>
                <w:sz w:val="20"/>
              </w:rPr>
            </w:pPr>
            <w:r>
              <w:rPr>
                <w:sz w:val="20"/>
              </w:rPr>
              <w:t>28. Puesta en marcha</w:t>
            </w:r>
          </w:p>
        </w:tc>
        <w:tc>
          <w:tcPr>
            <w:tcW w:w="1777" w:type="dxa"/>
            <w:tcBorders>
              <w:bottom w:val="nil"/>
            </w:tcBorders>
            <w:shd w:val="clear" w:color="auto" w:fill="FFF1CC"/>
          </w:tcPr>
          <w:p>
            <w:pPr>
              <w:pStyle w:val="TableParagraph"/>
              <w:spacing w:line="230" w:lineRule="exact"/>
              <w:ind w:left="68"/>
              <w:rPr>
                <w:sz w:val="20"/>
              </w:rPr>
            </w:pPr>
            <w:r>
              <w:rPr>
                <w:sz w:val="20"/>
              </w:rPr>
              <w:t>Diseño, aprobación</w:t>
            </w:r>
          </w:p>
        </w:tc>
        <w:tc>
          <w:tcPr>
            <w:tcW w:w="1517" w:type="dxa"/>
            <w:tcBorders>
              <w:bottom w:val="nil"/>
            </w:tcBorders>
            <w:shd w:val="clear" w:color="auto" w:fill="FFF1CC"/>
          </w:tcPr>
          <w:p>
            <w:pPr>
              <w:pStyle w:val="TableParagraph"/>
              <w:spacing w:line="230" w:lineRule="exact"/>
              <w:ind w:left="68"/>
              <w:rPr>
                <w:sz w:val="20"/>
              </w:rPr>
            </w:pPr>
            <w:r>
              <w:rPr>
                <w:sz w:val="20"/>
              </w:rPr>
              <w:t>Sistema</w:t>
            </w:r>
          </w:p>
        </w:tc>
      </w:tr>
      <w:tr>
        <w:trPr>
          <w:trHeight w:val="243" w:hRule="atLeast"/>
        </w:trPr>
        <w:tc>
          <w:tcPr>
            <w:tcW w:w="2059" w:type="dxa"/>
            <w:tcBorders>
              <w:top w:val="nil"/>
              <w:bottom w:val="nil"/>
            </w:tcBorders>
            <w:shd w:val="clear" w:color="auto" w:fill="FFF1CC"/>
          </w:tcPr>
          <w:p>
            <w:pPr>
              <w:pStyle w:val="TableParagraph"/>
              <w:spacing w:line="214" w:lineRule="exact"/>
              <w:ind w:left="69"/>
              <w:rPr>
                <w:sz w:val="20"/>
              </w:rPr>
            </w:pPr>
            <w:r>
              <w:rPr>
                <w:sz w:val="20"/>
              </w:rPr>
              <w:t>durante el ciclo de su</w:t>
            </w:r>
          </w:p>
        </w:tc>
        <w:tc>
          <w:tcPr>
            <w:tcW w:w="1808" w:type="dxa"/>
            <w:tcBorders>
              <w:top w:val="nil"/>
              <w:bottom w:val="nil"/>
            </w:tcBorders>
            <w:shd w:val="clear" w:color="auto" w:fill="FFF1CC"/>
          </w:tcPr>
          <w:p>
            <w:pPr>
              <w:pStyle w:val="TableParagraph"/>
              <w:spacing w:line="214" w:lineRule="exact"/>
              <w:ind w:left="69"/>
              <w:rPr>
                <w:sz w:val="20"/>
              </w:rPr>
            </w:pPr>
            <w:r>
              <w:rPr>
                <w:sz w:val="20"/>
              </w:rPr>
              <w:t>su ciclo de</w:t>
            </w:r>
          </w:p>
        </w:tc>
        <w:tc>
          <w:tcPr>
            <w:tcW w:w="2041" w:type="dxa"/>
            <w:tcBorders>
              <w:top w:val="nil"/>
              <w:bottom w:val="nil"/>
            </w:tcBorders>
            <w:shd w:val="clear" w:color="auto" w:fill="FFF1CC"/>
          </w:tcPr>
          <w:p>
            <w:pPr>
              <w:pStyle w:val="TableParagraph"/>
              <w:spacing w:line="224" w:lineRule="exact"/>
              <w:ind w:left="69"/>
              <w:rPr>
                <w:sz w:val="20"/>
              </w:rPr>
            </w:pPr>
            <w:r>
              <w:rPr>
                <w:sz w:val="20"/>
              </w:rPr>
              <w:t>del sistema</w:t>
            </w:r>
          </w:p>
        </w:tc>
        <w:tc>
          <w:tcPr>
            <w:tcW w:w="1777" w:type="dxa"/>
            <w:tcBorders>
              <w:top w:val="nil"/>
              <w:bottom w:val="nil"/>
            </w:tcBorders>
            <w:shd w:val="clear" w:color="auto" w:fill="FFF1CC"/>
          </w:tcPr>
          <w:p>
            <w:pPr>
              <w:pStyle w:val="TableParagraph"/>
              <w:spacing w:line="224" w:lineRule="exact"/>
              <w:ind w:left="68"/>
              <w:rPr>
                <w:sz w:val="20"/>
              </w:rPr>
            </w:pPr>
            <w:r>
              <w:rPr>
                <w:sz w:val="20"/>
              </w:rPr>
              <w:t>y aplicación con</w:t>
            </w:r>
          </w:p>
        </w:tc>
        <w:tc>
          <w:tcPr>
            <w:tcW w:w="1517" w:type="dxa"/>
            <w:tcBorders>
              <w:top w:val="nil"/>
              <w:bottom w:val="nil"/>
            </w:tcBorders>
            <w:shd w:val="clear" w:color="auto" w:fill="FFF1CC"/>
          </w:tcPr>
          <w:p>
            <w:pPr>
              <w:pStyle w:val="TableParagraph"/>
              <w:spacing w:line="224" w:lineRule="exact"/>
              <w:ind w:left="68"/>
              <w:rPr>
                <w:sz w:val="20"/>
              </w:rPr>
            </w:pPr>
            <w:r>
              <w:rPr>
                <w:sz w:val="20"/>
              </w:rPr>
              <w:t>computarizado</w:t>
            </w:r>
          </w:p>
        </w:tc>
      </w:tr>
      <w:tr>
        <w:trPr>
          <w:trHeight w:val="245" w:hRule="atLeast"/>
        </w:trPr>
        <w:tc>
          <w:tcPr>
            <w:tcW w:w="2059" w:type="dxa"/>
            <w:tcBorders>
              <w:top w:val="nil"/>
              <w:bottom w:val="nil"/>
            </w:tcBorders>
            <w:shd w:val="clear" w:color="auto" w:fill="FFF1CC"/>
          </w:tcPr>
          <w:p>
            <w:pPr>
              <w:pStyle w:val="TableParagraph"/>
              <w:spacing w:line="213" w:lineRule="exact"/>
              <w:ind w:left="69"/>
              <w:rPr>
                <w:sz w:val="20"/>
              </w:rPr>
            </w:pPr>
            <w:r>
              <w:rPr>
                <w:sz w:val="20"/>
              </w:rPr>
              <w:t>formación</w:t>
            </w:r>
          </w:p>
        </w:tc>
        <w:tc>
          <w:tcPr>
            <w:tcW w:w="1808" w:type="dxa"/>
            <w:tcBorders>
              <w:top w:val="nil"/>
              <w:bottom w:val="nil"/>
            </w:tcBorders>
            <w:shd w:val="clear" w:color="auto" w:fill="FFF1CC"/>
          </w:tcPr>
          <w:p>
            <w:pPr>
              <w:pStyle w:val="TableParagraph"/>
              <w:spacing w:line="213" w:lineRule="exact"/>
              <w:ind w:left="69"/>
              <w:rPr>
                <w:sz w:val="20"/>
              </w:rPr>
            </w:pPr>
            <w:r>
              <w:rPr>
                <w:sz w:val="20"/>
              </w:rPr>
              <w:t>formación, existen</w:t>
            </w:r>
          </w:p>
        </w:tc>
        <w:tc>
          <w:tcPr>
            <w:tcW w:w="2041" w:type="dxa"/>
            <w:tcBorders>
              <w:top w:val="nil"/>
              <w:bottom w:val="nil"/>
            </w:tcBorders>
            <w:shd w:val="clear" w:color="auto" w:fill="FFF1CC"/>
          </w:tcPr>
          <w:p>
            <w:pPr>
              <w:pStyle w:val="TableParagraph"/>
              <w:spacing w:line="225" w:lineRule="exact"/>
              <w:ind w:left="69"/>
              <w:rPr>
                <w:sz w:val="20"/>
              </w:rPr>
            </w:pPr>
            <w:r>
              <w:rPr>
                <w:sz w:val="20"/>
              </w:rPr>
              <w:t>informático</w:t>
            </w:r>
          </w:p>
        </w:tc>
        <w:tc>
          <w:tcPr>
            <w:tcW w:w="1777" w:type="dxa"/>
            <w:tcBorders>
              <w:top w:val="nil"/>
              <w:bottom w:val="nil"/>
            </w:tcBorders>
            <w:shd w:val="clear" w:color="auto" w:fill="FFF1CC"/>
          </w:tcPr>
          <w:p>
            <w:pPr>
              <w:pStyle w:val="TableParagraph"/>
              <w:spacing w:line="225" w:lineRule="exact"/>
              <w:ind w:left="68"/>
              <w:rPr>
                <w:sz w:val="20"/>
              </w:rPr>
            </w:pPr>
            <w:r>
              <w:rPr>
                <w:sz w:val="20"/>
              </w:rPr>
              <w:t>apoyo ministerial y</w:t>
            </w:r>
          </w:p>
        </w:tc>
        <w:tc>
          <w:tcPr>
            <w:tcW w:w="1517" w:type="dxa"/>
            <w:tcBorders>
              <w:top w:val="nil"/>
              <w:bottom w:val="nil"/>
            </w:tcBorders>
            <w:shd w:val="clear" w:color="auto" w:fill="FFF1CC"/>
          </w:tcPr>
          <w:p>
            <w:pPr>
              <w:pStyle w:val="TableParagraph"/>
              <w:spacing w:line="225" w:lineRule="exact"/>
              <w:ind w:left="68"/>
              <w:rPr>
                <w:sz w:val="20"/>
              </w:rPr>
            </w:pPr>
            <w:r>
              <w:rPr>
                <w:sz w:val="20"/>
              </w:rPr>
              <w:t>accesible y</w:t>
            </w:r>
          </w:p>
        </w:tc>
      </w:tr>
      <w:tr>
        <w:trPr>
          <w:trHeight w:val="244" w:hRule="atLeast"/>
        </w:trPr>
        <w:tc>
          <w:tcPr>
            <w:tcW w:w="2059" w:type="dxa"/>
            <w:tcBorders>
              <w:top w:val="nil"/>
              <w:bottom w:val="nil"/>
            </w:tcBorders>
            <w:shd w:val="clear" w:color="auto" w:fill="FFF1CC"/>
          </w:tcPr>
          <w:p>
            <w:pPr>
              <w:pStyle w:val="TableParagraph"/>
              <w:rPr>
                <w:rFonts w:ascii="Times New Roman"/>
                <w:sz w:val="16"/>
              </w:rPr>
            </w:pPr>
          </w:p>
        </w:tc>
        <w:tc>
          <w:tcPr>
            <w:tcW w:w="1808" w:type="dxa"/>
            <w:tcBorders>
              <w:top w:val="nil"/>
              <w:bottom w:val="nil"/>
            </w:tcBorders>
            <w:shd w:val="clear" w:color="auto" w:fill="FFF1CC"/>
          </w:tcPr>
          <w:p>
            <w:pPr>
              <w:pStyle w:val="TableParagraph"/>
              <w:spacing w:line="213" w:lineRule="exact"/>
              <w:ind w:left="69"/>
              <w:rPr>
                <w:sz w:val="20"/>
              </w:rPr>
            </w:pPr>
            <w:r>
              <w:rPr>
                <w:sz w:val="20"/>
              </w:rPr>
              <w:t>y cumplen normas</w:t>
            </w:r>
          </w:p>
        </w:tc>
        <w:tc>
          <w:tcPr>
            <w:tcW w:w="2041" w:type="dxa"/>
            <w:tcBorders>
              <w:top w:val="nil"/>
              <w:bottom w:val="nil"/>
            </w:tcBorders>
            <w:shd w:val="clear" w:color="auto" w:fill="FFF1CC"/>
          </w:tcPr>
          <w:p>
            <w:pPr>
              <w:pStyle w:val="TableParagraph"/>
              <w:spacing w:line="225" w:lineRule="exact"/>
              <w:ind w:left="69"/>
              <w:rPr>
                <w:sz w:val="20"/>
              </w:rPr>
            </w:pPr>
            <w:r>
              <w:rPr>
                <w:sz w:val="20"/>
              </w:rPr>
              <w:t>académico (SICAH)</w:t>
            </w:r>
          </w:p>
        </w:tc>
        <w:tc>
          <w:tcPr>
            <w:tcW w:w="1777" w:type="dxa"/>
            <w:tcBorders>
              <w:top w:val="nil"/>
              <w:bottom w:val="nil"/>
            </w:tcBorders>
            <w:shd w:val="clear" w:color="auto" w:fill="FFF1CC"/>
          </w:tcPr>
          <w:p>
            <w:pPr>
              <w:pStyle w:val="TableParagraph"/>
              <w:spacing w:line="225" w:lineRule="exact"/>
              <w:ind w:left="68"/>
              <w:rPr>
                <w:sz w:val="20"/>
              </w:rPr>
            </w:pPr>
            <w:r>
              <w:rPr>
                <w:sz w:val="20"/>
              </w:rPr>
              <w:t>de especialistas</w:t>
            </w:r>
          </w:p>
        </w:tc>
        <w:tc>
          <w:tcPr>
            <w:tcW w:w="1517" w:type="dxa"/>
            <w:tcBorders>
              <w:top w:val="nil"/>
              <w:bottom w:val="nil"/>
            </w:tcBorders>
            <w:shd w:val="clear" w:color="auto" w:fill="FFF1CC"/>
          </w:tcPr>
          <w:p>
            <w:pPr>
              <w:pStyle w:val="TableParagraph"/>
              <w:spacing w:line="225" w:lineRule="exact"/>
              <w:ind w:left="68"/>
              <w:rPr>
                <w:sz w:val="20"/>
              </w:rPr>
            </w:pPr>
            <w:r>
              <w:rPr>
                <w:sz w:val="20"/>
              </w:rPr>
              <w:t>fluido en</w:t>
            </w:r>
          </w:p>
        </w:tc>
      </w:tr>
      <w:tr>
        <w:trPr>
          <w:trHeight w:val="242" w:hRule="atLeast"/>
        </w:trPr>
        <w:tc>
          <w:tcPr>
            <w:tcW w:w="2059" w:type="dxa"/>
            <w:tcBorders>
              <w:top w:val="nil"/>
              <w:bottom w:val="nil"/>
            </w:tcBorders>
            <w:shd w:val="clear" w:color="auto" w:fill="FFF1CC"/>
          </w:tcPr>
          <w:p>
            <w:pPr>
              <w:pStyle w:val="TableParagraph"/>
              <w:rPr>
                <w:rFonts w:ascii="Times New Roman"/>
                <w:sz w:val="16"/>
              </w:rPr>
            </w:pPr>
          </w:p>
        </w:tc>
        <w:tc>
          <w:tcPr>
            <w:tcW w:w="1808" w:type="dxa"/>
            <w:tcBorders>
              <w:top w:val="nil"/>
              <w:bottom w:val="nil"/>
            </w:tcBorders>
            <w:shd w:val="clear" w:color="auto" w:fill="FFF1CC"/>
          </w:tcPr>
          <w:p>
            <w:pPr>
              <w:pStyle w:val="TableParagraph"/>
              <w:spacing w:line="213" w:lineRule="exact"/>
              <w:ind w:left="69"/>
              <w:rPr>
                <w:sz w:val="20"/>
              </w:rPr>
            </w:pPr>
            <w:r>
              <w:rPr>
                <w:sz w:val="20"/>
              </w:rPr>
              <w:t>de seguridad y</w:t>
            </w:r>
          </w:p>
        </w:tc>
        <w:tc>
          <w:tcPr>
            <w:tcW w:w="2041" w:type="dxa"/>
            <w:tcBorders>
              <w:top w:val="nil"/>
              <w:bottom w:val="nil"/>
            </w:tcBorders>
            <w:shd w:val="clear" w:color="auto" w:fill="FFF1CC"/>
          </w:tcPr>
          <w:p>
            <w:pPr>
              <w:pStyle w:val="TableParagraph"/>
              <w:rPr>
                <w:rFonts w:ascii="Times New Roman"/>
                <w:sz w:val="16"/>
              </w:rPr>
            </w:pPr>
          </w:p>
        </w:tc>
        <w:tc>
          <w:tcPr>
            <w:tcW w:w="1777" w:type="dxa"/>
            <w:tcBorders>
              <w:top w:val="nil"/>
              <w:bottom w:val="nil"/>
            </w:tcBorders>
            <w:shd w:val="clear" w:color="auto" w:fill="FFF1CC"/>
          </w:tcPr>
          <w:p>
            <w:pPr>
              <w:pStyle w:val="TableParagraph"/>
              <w:spacing w:line="222" w:lineRule="exact"/>
              <w:ind w:left="68"/>
              <w:rPr>
                <w:sz w:val="20"/>
              </w:rPr>
            </w:pPr>
            <w:r>
              <w:rPr>
                <w:sz w:val="20"/>
              </w:rPr>
              <w:t>externos</w:t>
            </w:r>
          </w:p>
        </w:tc>
        <w:tc>
          <w:tcPr>
            <w:tcW w:w="1517" w:type="dxa"/>
            <w:tcBorders>
              <w:top w:val="nil"/>
              <w:bottom w:val="nil"/>
            </w:tcBorders>
            <w:shd w:val="clear" w:color="auto" w:fill="FFF1CC"/>
          </w:tcPr>
          <w:p>
            <w:pPr>
              <w:pStyle w:val="TableParagraph"/>
              <w:spacing w:line="222" w:lineRule="exact"/>
              <w:ind w:left="68"/>
              <w:rPr>
                <w:sz w:val="20"/>
              </w:rPr>
            </w:pPr>
            <w:r>
              <w:rPr>
                <w:sz w:val="20"/>
              </w:rPr>
              <w:t>funcionamiento</w:t>
            </w:r>
          </w:p>
        </w:tc>
      </w:tr>
      <w:tr>
        <w:trPr>
          <w:trHeight w:val="258" w:hRule="atLeast"/>
        </w:trPr>
        <w:tc>
          <w:tcPr>
            <w:tcW w:w="2059" w:type="dxa"/>
            <w:tcBorders>
              <w:top w:val="nil"/>
              <w:bottom w:val="nil"/>
            </w:tcBorders>
            <w:shd w:val="clear" w:color="auto" w:fill="FFF1CC"/>
          </w:tcPr>
          <w:p>
            <w:pPr>
              <w:pStyle w:val="TableParagraph"/>
              <w:rPr>
                <w:rFonts w:ascii="Times New Roman"/>
                <w:sz w:val="18"/>
              </w:rPr>
            </w:pPr>
          </w:p>
        </w:tc>
        <w:tc>
          <w:tcPr>
            <w:tcW w:w="1808" w:type="dxa"/>
            <w:tcBorders>
              <w:top w:val="nil"/>
              <w:bottom w:val="nil"/>
            </w:tcBorders>
            <w:shd w:val="clear" w:color="auto" w:fill="FFF1CC"/>
          </w:tcPr>
          <w:p>
            <w:pPr>
              <w:pStyle w:val="TableParagraph"/>
              <w:spacing w:line="213" w:lineRule="exact"/>
              <w:ind w:left="69"/>
              <w:rPr>
                <w:sz w:val="20"/>
              </w:rPr>
            </w:pPr>
            <w:r>
              <w:rPr>
                <w:sz w:val="20"/>
              </w:rPr>
              <w:t>fluidez</w:t>
            </w:r>
          </w:p>
        </w:tc>
        <w:tc>
          <w:tcPr>
            <w:tcW w:w="2041" w:type="dxa"/>
            <w:tcBorders>
              <w:top w:val="nil"/>
              <w:bottom w:val="nil"/>
            </w:tcBorders>
            <w:shd w:val="clear" w:color="auto" w:fill="FFF1CC"/>
          </w:tcPr>
          <w:p>
            <w:pPr>
              <w:pStyle w:val="TableParagraph"/>
              <w:rPr>
                <w:rFonts w:ascii="Times New Roman"/>
                <w:sz w:val="18"/>
              </w:rPr>
            </w:pPr>
          </w:p>
        </w:tc>
        <w:tc>
          <w:tcPr>
            <w:tcW w:w="1777" w:type="dxa"/>
            <w:tcBorders>
              <w:top w:val="nil"/>
              <w:bottom w:val="nil"/>
            </w:tcBorders>
            <w:shd w:val="clear" w:color="auto" w:fill="FFF1CC"/>
          </w:tcPr>
          <w:p>
            <w:pPr>
              <w:pStyle w:val="TableParagraph"/>
              <w:rPr>
                <w:rFonts w:ascii="Times New Roman"/>
                <w:sz w:val="18"/>
              </w:rPr>
            </w:pPr>
          </w:p>
        </w:tc>
        <w:tc>
          <w:tcPr>
            <w:tcW w:w="1517" w:type="dxa"/>
            <w:tcBorders>
              <w:top w:val="nil"/>
              <w:bottom w:val="nil"/>
            </w:tcBorders>
            <w:shd w:val="clear" w:color="auto" w:fill="FFF1CC"/>
          </w:tcPr>
          <w:p>
            <w:pPr>
              <w:pStyle w:val="TableParagraph"/>
              <w:spacing w:line="238" w:lineRule="exact"/>
              <w:ind w:left="68"/>
              <w:rPr>
                <w:sz w:val="20"/>
              </w:rPr>
            </w:pPr>
            <w:r>
              <w:rPr>
                <w:sz w:val="20"/>
              </w:rPr>
              <w:t>por materia,</w:t>
            </w:r>
          </w:p>
        </w:tc>
      </w:tr>
      <w:tr>
        <w:trPr>
          <w:trHeight w:val="258" w:hRule="atLeast"/>
        </w:trPr>
        <w:tc>
          <w:tcPr>
            <w:tcW w:w="2059" w:type="dxa"/>
            <w:tcBorders>
              <w:top w:val="nil"/>
            </w:tcBorders>
            <w:shd w:val="clear" w:color="auto" w:fill="FFF1CC"/>
          </w:tcPr>
          <w:p>
            <w:pPr>
              <w:pStyle w:val="TableParagraph"/>
              <w:rPr>
                <w:rFonts w:ascii="Times New Roman"/>
                <w:sz w:val="18"/>
              </w:rPr>
            </w:pPr>
          </w:p>
        </w:tc>
        <w:tc>
          <w:tcPr>
            <w:tcW w:w="1808" w:type="dxa"/>
            <w:tcBorders>
              <w:top w:val="nil"/>
            </w:tcBorders>
            <w:shd w:val="clear" w:color="auto" w:fill="FFF1CC"/>
          </w:tcPr>
          <w:p>
            <w:pPr>
              <w:pStyle w:val="TableParagraph"/>
              <w:rPr>
                <w:rFonts w:ascii="Times New Roman"/>
                <w:sz w:val="18"/>
              </w:rPr>
            </w:pPr>
          </w:p>
        </w:tc>
        <w:tc>
          <w:tcPr>
            <w:tcW w:w="2041" w:type="dxa"/>
            <w:tcBorders>
              <w:top w:val="nil"/>
            </w:tcBorders>
            <w:shd w:val="clear" w:color="auto" w:fill="FFF1CC"/>
          </w:tcPr>
          <w:p>
            <w:pPr>
              <w:pStyle w:val="TableParagraph"/>
              <w:rPr>
                <w:rFonts w:ascii="Times New Roman"/>
                <w:sz w:val="18"/>
              </w:rPr>
            </w:pPr>
          </w:p>
        </w:tc>
        <w:tc>
          <w:tcPr>
            <w:tcW w:w="1777" w:type="dxa"/>
            <w:tcBorders>
              <w:top w:val="nil"/>
            </w:tcBorders>
            <w:shd w:val="clear" w:color="auto" w:fill="FFF1CC"/>
          </w:tcPr>
          <w:p>
            <w:pPr>
              <w:pStyle w:val="TableParagraph"/>
              <w:rPr>
                <w:rFonts w:ascii="Times New Roman"/>
                <w:sz w:val="18"/>
              </w:rPr>
            </w:pPr>
          </w:p>
        </w:tc>
        <w:tc>
          <w:tcPr>
            <w:tcW w:w="1517" w:type="dxa"/>
            <w:tcBorders>
              <w:top w:val="nil"/>
            </w:tcBorders>
            <w:shd w:val="clear" w:color="auto" w:fill="FFF1CC"/>
          </w:tcPr>
          <w:p>
            <w:pPr>
              <w:pStyle w:val="TableParagraph"/>
              <w:spacing w:line="226" w:lineRule="exact"/>
              <w:ind w:left="68"/>
              <w:rPr>
                <w:sz w:val="20"/>
              </w:rPr>
            </w:pPr>
            <w:r>
              <w:rPr>
                <w:sz w:val="20"/>
              </w:rPr>
              <w:t>gestión, persona</w:t>
            </w:r>
          </w:p>
        </w:tc>
      </w:tr>
    </w:tbl>
    <w:p>
      <w:pPr>
        <w:pStyle w:val="BodyText"/>
        <w:rPr>
          <w:rFonts w:ascii="Calibri"/>
          <w:b/>
          <w:sz w:val="20"/>
        </w:rPr>
      </w:pPr>
    </w:p>
    <w:p>
      <w:pPr>
        <w:pStyle w:val="BodyText"/>
        <w:spacing w:before="1"/>
        <w:rPr>
          <w:rFonts w:ascii="Calibri"/>
          <w:b/>
          <w:sz w:val="22"/>
        </w:rPr>
      </w:pPr>
    </w:p>
    <w:p>
      <w:pPr>
        <w:pStyle w:val="BodyText"/>
        <w:spacing w:line="276" w:lineRule="auto"/>
        <w:ind w:left="1082" w:right="857"/>
        <w:jc w:val="both"/>
      </w:pPr>
      <w:r>
        <w:rPr/>
        <w:t>Un rasgo de calidad de una entidad académica tienen que ver con la satisfacción y seguridad personalizado, que genere el sistema de registro académico de admisión, registro y avance a lo largo de todo el ciclo de formación y para la titulación correspondiente, factor que a menudo a significado perdidas y perjuicios en otras instituciones similares, así como una vez habilitados, poder desarrollar entornos de aula virtual que de forma personalizada permitan a los estamentos estudiantil y docente relacionarse en relación al desarrollo de la catedra y el flujo de material de apoyo, como de obligaciones académicas recíprocas con fluidez , oportunidad y calidad a lo largo del</w:t>
      </w:r>
      <w:r>
        <w:rPr>
          <w:spacing w:val="60"/>
        </w:rPr>
        <w:t> </w:t>
      </w:r>
      <w:r>
        <w:rPr/>
        <w:t>ciclo.</w:t>
      </w:r>
    </w:p>
    <w:p>
      <w:pPr>
        <w:pStyle w:val="BodyText"/>
        <w:spacing w:line="276" w:lineRule="auto" w:before="202"/>
        <w:ind w:left="1082" w:right="850"/>
        <w:jc w:val="both"/>
      </w:pPr>
      <w:r>
        <w:rPr/>
        <w:t>En este marco se realizara el diseño, y funcionamiento de un sistema de admisión, registro académicos como de gestión de la catedra, brindando a los estudiantes</w:t>
      </w:r>
    </w:p>
    <w:p>
      <w:pPr>
        <w:pStyle w:val="BodyText"/>
        <w:spacing w:line="276" w:lineRule="auto"/>
        <w:ind w:left="1082" w:right="849"/>
        <w:jc w:val="both"/>
      </w:pPr>
      <w:r>
        <w:rPr/>
        <w:t>/docentes un sistema de registro y seguimiento accesible y confiable durante el ciclo de su formación, tanto acudiendo a las reparticiones  correspondientes  para acceder, como desde un entorno virtual y a distancia, inclusive desde la telefonía móvil.</w:t>
      </w:r>
    </w:p>
    <w:p>
      <w:pPr>
        <w:pStyle w:val="BodyText"/>
        <w:spacing w:line="276" w:lineRule="auto" w:before="198"/>
        <w:ind w:left="1082" w:right="847"/>
        <w:jc w:val="both"/>
      </w:pPr>
      <w:r>
        <w:rPr/>
        <w:t>Sujeto al reglamento de Admisión de aspirantes del sistema AJLLAS Y por cada gestión académica , después del proceso de pre admisión y el ciclo propedéutico y de refuerzo previo que la Universidad conciba o ratifique como conveniente, se inscribirá a las y los estudiantes, mostrando a la sociedad y a los admitidos, el logro de un proceso de selección que denote la pertenencia a un ámbito selecto de excelencia académica para el que se a logrado superar un proceso previo de preparación.</w:t>
      </w:r>
    </w:p>
    <w:p>
      <w:pPr>
        <w:spacing w:after="0" w:line="276" w:lineRule="auto"/>
        <w:jc w:val="both"/>
        <w:sectPr>
          <w:pgSz w:w="11910" w:h="16840"/>
          <w:pgMar w:header="0" w:footer="922" w:top="1580" w:bottom="1200" w:left="620" w:right="280"/>
        </w:sectPr>
      </w:pPr>
    </w:p>
    <w:p>
      <w:pPr>
        <w:pStyle w:val="BodyText"/>
        <w:rPr>
          <w:sz w:val="20"/>
        </w:rPr>
      </w:pPr>
    </w:p>
    <w:p>
      <w:pPr>
        <w:pStyle w:val="BodyText"/>
        <w:rPr>
          <w:sz w:val="20"/>
        </w:rPr>
      </w:pPr>
    </w:p>
    <w:p>
      <w:pPr>
        <w:pStyle w:val="BodyText"/>
        <w:spacing w:before="7"/>
        <w:rPr>
          <w:sz w:val="22"/>
        </w:rPr>
      </w:pPr>
    </w:p>
    <w:p>
      <w:pPr>
        <w:pStyle w:val="ListParagraph"/>
        <w:numPr>
          <w:ilvl w:val="3"/>
          <w:numId w:val="51"/>
        </w:numPr>
        <w:tabs>
          <w:tab w:pos="2161" w:val="left" w:leader="none"/>
          <w:tab w:pos="2162" w:val="left" w:leader="none"/>
        </w:tabs>
        <w:spacing w:line="240" w:lineRule="auto" w:before="59" w:after="0"/>
        <w:ind w:left="2162" w:right="0" w:hanging="1080"/>
        <w:jc w:val="left"/>
        <w:rPr>
          <w:rFonts w:ascii="Calibri"/>
          <w:b/>
          <w:sz w:val="20"/>
        </w:rPr>
      </w:pPr>
      <w:r>
        <w:rPr>
          <w:rFonts w:ascii="Calibri"/>
          <w:b/>
          <w:sz w:val="20"/>
        </w:rPr>
        <w:t>DIMENSION RUWAY</w:t>
      </w:r>
    </w:p>
    <w:p>
      <w:pPr>
        <w:spacing w:before="179"/>
        <w:ind w:left="1127" w:right="0" w:firstLine="0"/>
        <w:jc w:val="both"/>
        <w:rPr>
          <w:rFonts w:ascii="Calibri"/>
          <w:b/>
          <w:sz w:val="20"/>
        </w:rPr>
      </w:pPr>
      <w:r>
        <w:rPr>
          <w:rFonts w:ascii="Calibri"/>
          <w:b/>
          <w:sz w:val="20"/>
        </w:rPr>
        <w:t>LINEA DE ACCION 9 PASANTIAS EN OECOM/OECAS</w:t>
      </w:r>
    </w:p>
    <w:p>
      <w:pPr>
        <w:pStyle w:val="BodyText"/>
        <w:spacing w:before="10"/>
        <w:rPr>
          <w:rFonts w:ascii="Calibri"/>
          <w:b/>
          <w:sz w:val="14"/>
        </w:rPr>
      </w:pPr>
    </w:p>
    <w:tbl>
      <w:tblPr>
        <w:tblW w:w="0" w:type="auto"/>
        <w:jc w:val="left"/>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1863"/>
        <w:gridCol w:w="1846"/>
        <w:gridCol w:w="1846"/>
        <w:gridCol w:w="1548"/>
      </w:tblGrid>
      <w:tr>
        <w:trPr>
          <w:trHeight w:val="760" w:hRule="atLeast"/>
        </w:trPr>
        <w:tc>
          <w:tcPr>
            <w:tcW w:w="2098" w:type="dxa"/>
            <w:shd w:val="clear" w:color="auto" w:fill="FF0000"/>
          </w:tcPr>
          <w:p>
            <w:pPr>
              <w:pStyle w:val="TableParagraph"/>
              <w:spacing w:before="1"/>
              <w:ind w:left="503"/>
              <w:rPr>
                <w:b/>
                <w:sz w:val="20"/>
              </w:rPr>
            </w:pPr>
            <w:r>
              <w:rPr>
                <w:b/>
                <w:sz w:val="20"/>
              </w:rPr>
              <w:t>RESULTADOS</w:t>
            </w:r>
          </w:p>
        </w:tc>
        <w:tc>
          <w:tcPr>
            <w:tcW w:w="1863" w:type="dxa"/>
            <w:shd w:val="clear" w:color="auto" w:fill="FF0000"/>
          </w:tcPr>
          <w:p>
            <w:pPr>
              <w:pStyle w:val="TableParagraph"/>
              <w:spacing w:line="278" w:lineRule="auto"/>
              <w:ind w:left="364" w:right="57" w:firstLine="88"/>
              <w:rPr>
                <w:b/>
                <w:sz w:val="20"/>
              </w:rPr>
            </w:pPr>
            <w:r>
              <w:rPr>
                <w:b/>
                <w:sz w:val="20"/>
              </w:rPr>
              <w:t>INDICADOR </w:t>
            </w:r>
            <w:r>
              <w:rPr>
                <w:b/>
                <w:w w:val="95"/>
                <w:sz w:val="20"/>
              </w:rPr>
              <w:t>ESTRATÉGICO</w:t>
            </w:r>
          </w:p>
        </w:tc>
        <w:tc>
          <w:tcPr>
            <w:tcW w:w="1846" w:type="dxa"/>
            <w:shd w:val="clear" w:color="auto" w:fill="FF0000"/>
          </w:tcPr>
          <w:p>
            <w:pPr>
              <w:pStyle w:val="TableParagraph"/>
              <w:spacing w:before="1"/>
              <w:ind w:left="366"/>
              <w:rPr>
                <w:b/>
                <w:sz w:val="20"/>
              </w:rPr>
            </w:pPr>
            <w:r>
              <w:rPr>
                <w:b/>
                <w:sz w:val="20"/>
              </w:rPr>
              <w:t>ACTIVIDADES</w:t>
            </w:r>
          </w:p>
        </w:tc>
        <w:tc>
          <w:tcPr>
            <w:tcW w:w="1846" w:type="dxa"/>
            <w:shd w:val="clear" w:color="auto" w:fill="FF0000"/>
          </w:tcPr>
          <w:p>
            <w:pPr>
              <w:pStyle w:val="TableParagraph"/>
              <w:spacing w:before="1"/>
              <w:ind w:left="280"/>
              <w:rPr>
                <w:b/>
                <w:sz w:val="20"/>
              </w:rPr>
            </w:pPr>
            <w:r>
              <w:rPr>
                <w:b/>
                <w:sz w:val="20"/>
              </w:rPr>
              <w:t>METODOLOGIA</w:t>
            </w:r>
          </w:p>
        </w:tc>
        <w:tc>
          <w:tcPr>
            <w:tcW w:w="1548" w:type="dxa"/>
            <w:shd w:val="clear" w:color="auto" w:fill="FF0000"/>
          </w:tcPr>
          <w:p>
            <w:pPr>
              <w:pStyle w:val="TableParagraph"/>
              <w:spacing w:before="1"/>
              <w:ind w:left="196"/>
              <w:rPr>
                <w:b/>
                <w:sz w:val="20"/>
              </w:rPr>
            </w:pPr>
            <w:r>
              <w:rPr>
                <w:b/>
                <w:sz w:val="20"/>
              </w:rPr>
              <w:t>INDICADORES</w:t>
            </w:r>
          </w:p>
        </w:tc>
      </w:tr>
      <w:tr>
        <w:trPr>
          <w:trHeight w:val="1466" w:hRule="atLeast"/>
        </w:trPr>
        <w:tc>
          <w:tcPr>
            <w:tcW w:w="2098" w:type="dxa"/>
            <w:vMerge w:val="restart"/>
            <w:tcBorders>
              <w:left w:val="single" w:sz="8" w:space="0" w:color="000000"/>
            </w:tcBorders>
            <w:shd w:val="clear" w:color="auto" w:fill="FBE3D5"/>
          </w:tcPr>
          <w:p>
            <w:pPr>
              <w:pStyle w:val="TableParagraph"/>
              <w:tabs>
                <w:tab w:pos="834" w:val="left" w:leader="none"/>
                <w:tab w:pos="1817" w:val="left" w:leader="none"/>
                <w:tab w:pos="1933" w:val="left" w:leader="none"/>
              </w:tabs>
              <w:spacing w:before="1"/>
              <w:ind w:left="69" w:right="56"/>
              <w:jc w:val="both"/>
              <w:rPr>
                <w:sz w:val="20"/>
              </w:rPr>
            </w:pPr>
            <w:r>
              <w:rPr>
                <w:sz w:val="20"/>
              </w:rPr>
              <w:t>9..Profesionales</w:t>
              <w:tab/>
              <w:tab/>
            </w:r>
            <w:r>
              <w:rPr>
                <w:spacing w:val="-17"/>
                <w:sz w:val="20"/>
              </w:rPr>
              <w:t>y </w:t>
            </w:r>
            <w:r>
              <w:rPr>
                <w:sz w:val="20"/>
              </w:rPr>
              <w:t>estudiantes de </w:t>
            </w:r>
            <w:r>
              <w:rPr>
                <w:spacing w:val="-7"/>
                <w:sz w:val="20"/>
              </w:rPr>
              <w:t>la </w:t>
            </w:r>
            <w:r>
              <w:rPr>
                <w:sz w:val="20"/>
              </w:rPr>
              <w:t>Yachayllajta  </w:t>
            </w:r>
            <w:r>
              <w:rPr>
                <w:spacing w:val="-4"/>
                <w:sz w:val="20"/>
              </w:rPr>
              <w:t>UNIBOL </w:t>
            </w:r>
            <w:r>
              <w:rPr>
                <w:sz w:val="20"/>
              </w:rPr>
              <w:t>son</w:t>
              <w:tab/>
            </w:r>
            <w:r>
              <w:rPr>
                <w:w w:val="95"/>
                <w:sz w:val="20"/>
              </w:rPr>
              <w:t>dinamizadores </w:t>
            </w:r>
            <w:r>
              <w:rPr>
                <w:sz w:val="20"/>
              </w:rPr>
              <w:t>estratégicos</w:t>
              <w:tab/>
            </w:r>
            <w:r>
              <w:rPr>
                <w:spacing w:val="-7"/>
                <w:sz w:val="20"/>
              </w:rPr>
              <w:t>de </w:t>
            </w:r>
            <w:r>
              <w:rPr>
                <w:sz w:val="20"/>
              </w:rPr>
              <w:t>OECOMs y OECAS ya</w:t>
            </w:r>
          </w:p>
          <w:p>
            <w:pPr>
              <w:pStyle w:val="TableParagraph"/>
              <w:ind w:left="69" w:right="57"/>
              <w:jc w:val="both"/>
              <w:rPr>
                <w:sz w:val="20"/>
              </w:rPr>
            </w:pPr>
            <w:r>
              <w:rPr>
                <w:sz w:val="20"/>
              </w:rPr>
              <w:t>establecidas en </w:t>
            </w:r>
            <w:r>
              <w:rPr>
                <w:spacing w:val="-7"/>
                <w:sz w:val="20"/>
              </w:rPr>
              <w:t>la </w:t>
            </w:r>
            <w:r>
              <w:rPr>
                <w:sz w:val="20"/>
              </w:rPr>
              <w:t>territorialidad </w:t>
            </w:r>
            <w:r>
              <w:rPr>
                <w:spacing w:val="-3"/>
                <w:sz w:val="20"/>
              </w:rPr>
              <w:t>quechua </w:t>
            </w:r>
            <w:r>
              <w:rPr>
                <w:sz w:val="20"/>
              </w:rPr>
              <w:t>y en</w:t>
            </w:r>
            <w:r>
              <w:rPr>
                <w:spacing w:val="-1"/>
                <w:sz w:val="20"/>
              </w:rPr>
              <w:t> </w:t>
            </w:r>
            <w:r>
              <w:rPr>
                <w:sz w:val="20"/>
              </w:rPr>
              <w:t>Bolivia</w:t>
            </w:r>
          </w:p>
        </w:tc>
        <w:tc>
          <w:tcPr>
            <w:tcW w:w="1863" w:type="dxa"/>
            <w:vMerge w:val="restart"/>
            <w:shd w:val="clear" w:color="auto" w:fill="FBE3D5"/>
          </w:tcPr>
          <w:p>
            <w:pPr>
              <w:pStyle w:val="TableParagraph"/>
              <w:spacing w:line="243" w:lineRule="exact" w:before="1"/>
              <w:ind w:left="74"/>
              <w:jc w:val="both"/>
              <w:rPr>
                <w:sz w:val="20"/>
              </w:rPr>
            </w:pPr>
            <w:r>
              <w:rPr>
                <w:sz w:val="20"/>
              </w:rPr>
              <w:t>40 OECAS /OECOMS</w:t>
            </w:r>
          </w:p>
          <w:p>
            <w:pPr>
              <w:pStyle w:val="TableParagraph"/>
              <w:ind w:left="74" w:right="55"/>
              <w:jc w:val="both"/>
              <w:rPr>
                <w:sz w:val="20"/>
              </w:rPr>
            </w:pPr>
            <w:r>
              <w:rPr>
                <w:sz w:val="20"/>
              </w:rPr>
              <w:t>de Bolivia apoyadas con xxxx miembros de la comunidad educativa UNIBOL al 3er trimestre del 5to año</w:t>
            </w:r>
          </w:p>
        </w:tc>
        <w:tc>
          <w:tcPr>
            <w:tcW w:w="1846" w:type="dxa"/>
            <w:shd w:val="clear" w:color="auto" w:fill="FBE3D5"/>
          </w:tcPr>
          <w:p>
            <w:pPr>
              <w:pStyle w:val="TableParagraph"/>
              <w:spacing w:before="1"/>
              <w:ind w:left="73" w:right="56"/>
              <w:jc w:val="both"/>
              <w:rPr>
                <w:sz w:val="20"/>
              </w:rPr>
            </w:pPr>
            <w:r>
              <w:rPr>
                <w:sz w:val="20"/>
              </w:rPr>
              <w:t>29. Diseño de sistemas de apoyo, pasantía y oferta profesional para OECOMS, OECAS,</w:t>
            </w:r>
          </w:p>
          <w:p>
            <w:pPr>
              <w:pStyle w:val="TableParagraph"/>
              <w:spacing w:line="225" w:lineRule="exact"/>
              <w:ind w:left="73"/>
              <w:rPr>
                <w:sz w:val="20"/>
              </w:rPr>
            </w:pPr>
            <w:r>
              <w:rPr>
                <w:sz w:val="20"/>
              </w:rPr>
              <w:t>Complejos</w:t>
            </w:r>
          </w:p>
        </w:tc>
        <w:tc>
          <w:tcPr>
            <w:tcW w:w="1846" w:type="dxa"/>
            <w:shd w:val="clear" w:color="auto" w:fill="FBE3D5"/>
          </w:tcPr>
          <w:p>
            <w:pPr>
              <w:pStyle w:val="TableParagraph"/>
              <w:tabs>
                <w:tab w:pos="1570" w:val="left" w:leader="none"/>
              </w:tabs>
              <w:spacing w:before="1"/>
              <w:ind w:left="73" w:right="56"/>
              <w:jc w:val="both"/>
              <w:rPr>
                <w:sz w:val="20"/>
              </w:rPr>
            </w:pPr>
            <w:r>
              <w:rPr>
                <w:sz w:val="20"/>
              </w:rPr>
              <w:t>Eventos resolutivos c/ organizaciones económicas</w:t>
              <w:tab/>
            </w:r>
            <w:r>
              <w:rPr>
                <w:spacing w:val="-7"/>
                <w:sz w:val="20"/>
              </w:rPr>
              <w:t>de </w:t>
            </w:r>
            <w:r>
              <w:rPr>
                <w:sz w:val="20"/>
              </w:rPr>
              <w:t>nación quechua </w:t>
            </w:r>
            <w:r>
              <w:rPr>
                <w:spacing w:val="-3"/>
                <w:sz w:val="20"/>
              </w:rPr>
              <w:t>para </w:t>
            </w:r>
            <w:r>
              <w:rPr>
                <w:sz w:val="20"/>
              </w:rPr>
              <w:t>definición</w:t>
            </w:r>
            <w:r>
              <w:rPr>
                <w:spacing w:val="30"/>
                <w:sz w:val="20"/>
              </w:rPr>
              <w:t> </w:t>
            </w:r>
            <w:r>
              <w:rPr>
                <w:sz w:val="20"/>
              </w:rPr>
              <w:t>demanda,</w:t>
            </w:r>
          </w:p>
          <w:p>
            <w:pPr>
              <w:pStyle w:val="TableParagraph"/>
              <w:spacing w:line="225" w:lineRule="exact"/>
              <w:ind w:left="73"/>
              <w:jc w:val="both"/>
              <w:rPr>
                <w:sz w:val="20"/>
              </w:rPr>
            </w:pPr>
            <w:r>
              <w:rPr>
                <w:sz w:val="20"/>
              </w:rPr>
              <w:t>modalidad y</w:t>
            </w:r>
            <w:r>
              <w:rPr>
                <w:spacing w:val="-4"/>
                <w:sz w:val="20"/>
              </w:rPr>
              <w:t> </w:t>
            </w:r>
            <w:r>
              <w:rPr>
                <w:sz w:val="20"/>
              </w:rPr>
              <w:t>aportes</w:t>
            </w:r>
          </w:p>
        </w:tc>
        <w:tc>
          <w:tcPr>
            <w:tcW w:w="1548" w:type="dxa"/>
            <w:shd w:val="clear" w:color="auto" w:fill="FBE3D5"/>
          </w:tcPr>
          <w:p>
            <w:pPr>
              <w:pStyle w:val="TableParagraph"/>
              <w:spacing w:before="1"/>
              <w:ind w:left="71"/>
              <w:rPr>
                <w:sz w:val="20"/>
              </w:rPr>
            </w:pPr>
            <w:r>
              <w:rPr>
                <w:sz w:val="20"/>
              </w:rPr>
              <w:t>Diseño aprobado en vigencia</w:t>
            </w:r>
          </w:p>
        </w:tc>
      </w:tr>
      <w:tr>
        <w:trPr>
          <w:trHeight w:val="1103" w:hRule="atLeast"/>
        </w:trPr>
        <w:tc>
          <w:tcPr>
            <w:tcW w:w="2098" w:type="dxa"/>
            <w:vMerge/>
            <w:tcBorders>
              <w:top w:val="nil"/>
              <w:left w:val="single" w:sz="8" w:space="0" w:color="000000"/>
            </w:tcBorders>
            <w:shd w:val="clear" w:color="auto" w:fill="FBE3D5"/>
          </w:tcPr>
          <w:p>
            <w:pPr>
              <w:rPr>
                <w:sz w:val="2"/>
                <w:szCs w:val="2"/>
              </w:rPr>
            </w:pPr>
          </w:p>
        </w:tc>
        <w:tc>
          <w:tcPr>
            <w:tcW w:w="1863" w:type="dxa"/>
            <w:vMerge/>
            <w:tcBorders>
              <w:top w:val="nil"/>
            </w:tcBorders>
            <w:shd w:val="clear" w:color="auto" w:fill="FBE3D5"/>
          </w:tcPr>
          <w:p>
            <w:pPr>
              <w:rPr>
                <w:sz w:val="2"/>
                <w:szCs w:val="2"/>
              </w:rPr>
            </w:pPr>
          </w:p>
        </w:tc>
        <w:tc>
          <w:tcPr>
            <w:tcW w:w="1846" w:type="dxa"/>
            <w:shd w:val="clear" w:color="auto" w:fill="FBE3D5"/>
          </w:tcPr>
          <w:p>
            <w:pPr>
              <w:pStyle w:val="TableParagraph"/>
              <w:ind w:left="73" w:right="58"/>
              <w:jc w:val="both"/>
              <w:rPr>
                <w:sz w:val="20"/>
              </w:rPr>
            </w:pPr>
            <w:r>
              <w:rPr>
                <w:sz w:val="20"/>
              </w:rPr>
              <w:t>30. Ejecución de un sistema concursable de apoyo y pasantía en OECOMS/ OECAS.</w:t>
            </w:r>
          </w:p>
        </w:tc>
        <w:tc>
          <w:tcPr>
            <w:tcW w:w="1846" w:type="dxa"/>
            <w:shd w:val="clear" w:color="auto" w:fill="FBE3D5"/>
          </w:tcPr>
          <w:p>
            <w:pPr>
              <w:pStyle w:val="TableParagraph"/>
              <w:ind w:left="73" w:right="58"/>
              <w:jc w:val="both"/>
              <w:rPr>
                <w:sz w:val="20"/>
              </w:rPr>
            </w:pPr>
            <w:r>
              <w:rPr>
                <w:sz w:val="20"/>
              </w:rPr>
              <w:t>Concurso semestral de oferta/demanda profesional</w:t>
            </w:r>
          </w:p>
        </w:tc>
        <w:tc>
          <w:tcPr>
            <w:tcW w:w="1548" w:type="dxa"/>
            <w:shd w:val="clear" w:color="auto" w:fill="FBE3D5"/>
          </w:tcPr>
          <w:p>
            <w:pPr>
              <w:pStyle w:val="TableParagraph"/>
              <w:tabs>
                <w:tab w:pos="1196" w:val="left" w:leader="none"/>
              </w:tabs>
              <w:ind w:left="71" w:right="58"/>
              <w:rPr>
                <w:sz w:val="20"/>
              </w:rPr>
            </w:pPr>
            <w:r>
              <w:rPr>
                <w:sz w:val="20"/>
              </w:rPr>
              <w:t>Por lo menos </w:t>
            </w:r>
            <w:r>
              <w:rPr>
                <w:spacing w:val="-13"/>
                <w:sz w:val="20"/>
              </w:rPr>
              <w:t>8 </w:t>
            </w:r>
            <w:r>
              <w:rPr>
                <w:sz w:val="20"/>
              </w:rPr>
              <w:t>organizaciones participes</w:t>
              <w:tab/>
            </w:r>
            <w:r>
              <w:rPr>
                <w:spacing w:val="-6"/>
                <w:sz w:val="20"/>
              </w:rPr>
              <w:t>por </w:t>
            </w:r>
            <w:r>
              <w:rPr>
                <w:sz w:val="20"/>
              </w:rPr>
              <w:t>año</w:t>
            </w:r>
          </w:p>
        </w:tc>
      </w:tr>
    </w:tbl>
    <w:p>
      <w:pPr>
        <w:pStyle w:val="BodyText"/>
        <w:rPr>
          <w:rFonts w:ascii="Calibri"/>
          <w:b/>
          <w:sz w:val="20"/>
        </w:rPr>
      </w:pPr>
    </w:p>
    <w:p>
      <w:pPr>
        <w:pStyle w:val="BodyText"/>
        <w:spacing w:line="276" w:lineRule="auto" w:before="178"/>
        <w:ind w:left="1082" w:right="848"/>
        <w:jc w:val="both"/>
      </w:pPr>
      <w:r>
        <w:rPr/>
        <w:t>Todo el proceso de fortalecimiento académico y metodológico, institucional y de equipamiento e infraestructura, orientado a la complementariedad entre el régimen central de internado y el complementario de formación aplicada territorial, desarrollar sus aportes con actores económicos contrapartes que se van constituyendo en los brazos económicos de la nación quechua en el conjunto del país, constituyendo en los mecanismos que permitan el posicionamiento como actor económico de significativo peso en la economía plural y el aporte a la construcción del PIB agropecuario de Bolivia, en ese orden se desarrollaran relaciones bilaterales de la UNIBOL Quechua vía sus profesionales y estudiantes, de forma que estos sean por una parte con sus experticias en dinamizadores estratégicos de  OECOMs  y OECAS que normalmente son de alcance local, ya establecidas en la territorialidad quechua y en Bolivia, diseñando sistemas de apoyo, pasantía y oferta profesional para OECOMS, OECAS, a partir de Eventos resolutivos c/ organizaciones económicas de nación quechua para definición demanda, modalidad y aportes que se traduzcan en la aplicación anual de un sistema concursable semestral de apoyo y pasantía en OECOMS/ OECAs de corto plazo , temática puntual y alcance anual de doble flujo, en el que las OECAS puedan postular o los estudiantes puedan proponer.</w:t>
      </w:r>
    </w:p>
    <w:p>
      <w:pPr>
        <w:spacing w:after="0" w:line="276" w:lineRule="auto"/>
        <w:jc w:val="both"/>
        <w:sectPr>
          <w:pgSz w:w="11910" w:h="16840"/>
          <w:pgMar w:header="0" w:footer="922" w:top="1580" w:bottom="1200" w:left="620" w:right="280"/>
        </w:sectPr>
      </w:pPr>
    </w:p>
    <w:p>
      <w:pPr>
        <w:pStyle w:val="BodyText"/>
        <w:spacing w:before="3"/>
      </w:pPr>
    </w:p>
    <w:p>
      <w:pPr>
        <w:spacing w:before="59"/>
        <w:ind w:left="2034" w:right="0" w:firstLine="0"/>
        <w:jc w:val="left"/>
        <w:rPr>
          <w:rFonts w:ascii="Calibri"/>
          <w:b/>
          <w:sz w:val="20"/>
        </w:rPr>
      </w:pPr>
      <w:r>
        <w:rPr>
          <w:rFonts w:ascii="Calibri"/>
          <w:b/>
          <w:sz w:val="20"/>
        </w:rPr>
        <w:t>.LINEA DE ACCION 10: APOYO TECNOLOGICO A COMPLEJOS PRODUCTIVOS COMUNITARIOS</w:t>
      </w:r>
    </w:p>
    <w:p>
      <w:pPr>
        <w:pStyle w:val="BodyText"/>
        <w:spacing w:before="2"/>
        <w:rPr>
          <w:rFonts w:ascii="Calibri"/>
          <w:b/>
          <w:sz w:val="19"/>
        </w:rPr>
      </w:pP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1868"/>
        <w:gridCol w:w="1849"/>
        <w:gridCol w:w="1849"/>
        <w:gridCol w:w="1551"/>
      </w:tblGrid>
      <w:tr>
        <w:trPr>
          <w:trHeight w:val="762" w:hRule="atLeast"/>
        </w:trPr>
        <w:tc>
          <w:tcPr>
            <w:tcW w:w="2098" w:type="dxa"/>
            <w:shd w:val="clear" w:color="auto" w:fill="FF0000"/>
          </w:tcPr>
          <w:p>
            <w:pPr>
              <w:pStyle w:val="TableParagraph"/>
              <w:spacing w:before="1"/>
              <w:ind w:left="503"/>
              <w:rPr>
                <w:b/>
                <w:sz w:val="20"/>
              </w:rPr>
            </w:pPr>
            <w:r>
              <w:rPr>
                <w:b/>
                <w:sz w:val="20"/>
              </w:rPr>
              <w:t>RESULTADOS</w:t>
            </w:r>
          </w:p>
        </w:tc>
        <w:tc>
          <w:tcPr>
            <w:tcW w:w="1868" w:type="dxa"/>
            <w:shd w:val="clear" w:color="auto" w:fill="FF0000"/>
          </w:tcPr>
          <w:p>
            <w:pPr>
              <w:pStyle w:val="TableParagraph"/>
              <w:spacing w:line="278" w:lineRule="auto"/>
              <w:ind w:left="364" w:right="46" w:firstLine="91"/>
              <w:rPr>
                <w:b/>
                <w:sz w:val="20"/>
              </w:rPr>
            </w:pPr>
            <w:r>
              <w:rPr>
                <w:b/>
                <w:sz w:val="20"/>
              </w:rPr>
              <w:t>INDICADOR </w:t>
            </w:r>
            <w:r>
              <w:rPr>
                <w:b/>
                <w:w w:val="95"/>
                <w:sz w:val="20"/>
              </w:rPr>
              <w:t>ESTRATÉGICO</w:t>
            </w:r>
          </w:p>
        </w:tc>
        <w:tc>
          <w:tcPr>
            <w:tcW w:w="1849" w:type="dxa"/>
            <w:shd w:val="clear" w:color="auto" w:fill="FF0000"/>
          </w:tcPr>
          <w:p>
            <w:pPr>
              <w:pStyle w:val="TableParagraph"/>
              <w:spacing w:before="1"/>
              <w:ind w:left="368"/>
              <w:rPr>
                <w:b/>
                <w:sz w:val="20"/>
              </w:rPr>
            </w:pPr>
            <w:r>
              <w:rPr>
                <w:b/>
                <w:sz w:val="20"/>
              </w:rPr>
              <w:t>ACTIVIDADES</w:t>
            </w:r>
          </w:p>
        </w:tc>
        <w:tc>
          <w:tcPr>
            <w:tcW w:w="1849" w:type="dxa"/>
            <w:shd w:val="clear" w:color="auto" w:fill="FF0000"/>
          </w:tcPr>
          <w:p>
            <w:pPr>
              <w:pStyle w:val="TableParagraph"/>
              <w:spacing w:before="1"/>
              <w:ind w:left="281"/>
              <w:rPr>
                <w:b/>
                <w:sz w:val="20"/>
              </w:rPr>
            </w:pPr>
            <w:r>
              <w:rPr>
                <w:b/>
                <w:sz w:val="20"/>
              </w:rPr>
              <w:t>METODOLOGIA</w:t>
            </w:r>
          </w:p>
        </w:tc>
        <w:tc>
          <w:tcPr>
            <w:tcW w:w="1551" w:type="dxa"/>
            <w:shd w:val="clear" w:color="auto" w:fill="FF0000"/>
          </w:tcPr>
          <w:p>
            <w:pPr>
              <w:pStyle w:val="TableParagraph"/>
              <w:spacing w:before="1"/>
              <w:ind w:left="199"/>
              <w:rPr>
                <w:b/>
                <w:sz w:val="20"/>
              </w:rPr>
            </w:pPr>
            <w:r>
              <w:rPr>
                <w:b/>
                <w:sz w:val="20"/>
              </w:rPr>
              <w:t>INDICADORES</w:t>
            </w:r>
          </w:p>
        </w:tc>
      </w:tr>
      <w:tr>
        <w:trPr>
          <w:trHeight w:val="2196" w:hRule="atLeast"/>
        </w:trPr>
        <w:tc>
          <w:tcPr>
            <w:tcW w:w="2098" w:type="dxa"/>
            <w:vMerge w:val="restart"/>
            <w:tcBorders>
              <w:left w:val="single" w:sz="8" w:space="0" w:color="000000"/>
            </w:tcBorders>
            <w:shd w:val="clear" w:color="auto" w:fill="FBE3D5"/>
          </w:tcPr>
          <w:p>
            <w:pPr>
              <w:pStyle w:val="TableParagraph"/>
              <w:tabs>
                <w:tab w:pos="786" w:val="left" w:leader="none"/>
                <w:tab w:pos="1173" w:val="left" w:leader="none"/>
                <w:tab w:pos="1277" w:val="left" w:leader="none"/>
                <w:tab w:pos="1359" w:val="left" w:leader="none"/>
                <w:tab w:pos="1403" w:val="left" w:leader="none"/>
                <w:tab w:pos="1527" w:val="left" w:leader="none"/>
                <w:tab w:pos="1775" w:val="left" w:leader="none"/>
                <w:tab w:pos="1822" w:val="left" w:leader="none"/>
                <w:tab w:pos="1882" w:val="left" w:leader="none"/>
              </w:tabs>
              <w:ind w:left="69" w:right="52"/>
              <w:rPr>
                <w:sz w:val="20"/>
              </w:rPr>
            </w:pPr>
            <w:r>
              <w:rPr>
                <w:sz w:val="20"/>
              </w:rPr>
              <w:t>10.</w:t>
              <w:tab/>
              <w:tab/>
              <w:t>Complejos productivos comunitarios</w:t>
              <w:tab/>
              <w:tab/>
              <w:tab/>
              <w:tab/>
              <w:t>que </w:t>
            </w:r>
            <w:r>
              <w:rPr>
                <w:spacing w:val="-7"/>
                <w:sz w:val="20"/>
              </w:rPr>
              <w:t>se </w:t>
            </w:r>
            <w:r>
              <w:rPr>
                <w:sz w:val="20"/>
              </w:rPr>
              <w:t>implementan</w:t>
              <w:tab/>
              <w:tab/>
              <w:tab/>
              <w:tab/>
              <w:tab/>
              <w:tab/>
              <w:tab/>
            </w:r>
            <w:r>
              <w:rPr>
                <w:spacing w:val="-8"/>
                <w:sz w:val="20"/>
              </w:rPr>
              <w:t>en </w:t>
            </w:r>
            <w:r>
              <w:rPr>
                <w:sz w:val="20"/>
              </w:rPr>
              <w:t>territorialidades estratégicas</w:t>
              <w:tab/>
              <w:tab/>
              <w:tab/>
              <w:t>de</w:t>
              <w:tab/>
              <w:tab/>
              <w:tab/>
            </w:r>
            <w:r>
              <w:rPr>
                <w:spacing w:val="-7"/>
                <w:sz w:val="20"/>
              </w:rPr>
              <w:t>la </w:t>
            </w:r>
            <w:r>
              <w:rPr>
                <w:sz w:val="20"/>
              </w:rPr>
              <w:t>nación</w:t>
              <w:tab/>
              <w:tab/>
              <w:tab/>
            </w:r>
            <w:r>
              <w:rPr>
                <w:spacing w:val="-3"/>
                <w:sz w:val="20"/>
              </w:rPr>
              <w:t>quechua, </w:t>
            </w:r>
            <w:r>
              <w:rPr>
                <w:sz w:val="20"/>
              </w:rPr>
              <w:t>cuentan con el aporte de</w:t>
              <w:tab/>
              <w:t>los</w:t>
              <w:tab/>
              <w:tab/>
              <w:tab/>
              <w:tab/>
              <w:tab/>
            </w:r>
            <w:r>
              <w:rPr>
                <w:spacing w:val="-3"/>
                <w:sz w:val="20"/>
              </w:rPr>
              <w:t>logros </w:t>
            </w:r>
            <w:r>
              <w:rPr>
                <w:sz w:val="20"/>
              </w:rPr>
              <w:t>institucionales y de los profesionales</w:t>
              <w:tab/>
              <w:tab/>
              <w:tab/>
              <w:tab/>
              <w:tab/>
              <w:tab/>
            </w:r>
            <w:r>
              <w:rPr>
                <w:spacing w:val="-6"/>
                <w:sz w:val="20"/>
              </w:rPr>
              <w:t>del </w:t>
            </w:r>
            <w:r>
              <w:rPr>
                <w:sz w:val="20"/>
              </w:rPr>
              <w:t>Yachayllajta</w:t>
            </w:r>
            <w:r>
              <w:rPr>
                <w:spacing w:val="-1"/>
                <w:sz w:val="20"/>
              </w:rPr>
              <w:t> </w:t>
            </w:r>
            <w:r>
              <w:rPr>
                <w:sz w:val="20"/>
              </w:rPr>
              <w:t>UNIBOL</w:t>
            </w:r>
          </w:p>
        </w:tc>
        <w:tc>
          <w:tcPr>
            <w:tcW w:w="1868" w:type="dxa"/>
            <w:vMerge w:val="restart"/>
            <w:shd w:val="clear" w:color="auto" w:fill="FBE3D5"/>
          </w:tcPr>
          <w:p>
            <w:pPr>
              <w:pStyle w:val="TableParagraph"/>
              <w:ind w:left="74" w:right="57"/>
              <w:jc w:val="both"/>
              <w:rPr>
                <w:sz w:val="20"/>
              </w:rPr>
            </w:pPr>
            <w:r>
              <w:rPr>
                <w:sz w:val="20"/>
              </w:rPr>
              <w:t>5 complejos valoran positivamente xxxx aportes concretos recibidos de xxxxx miembros de la UNIBOL quechua al 3er trimestre del 4to año</w:t>
            </w:r>
          </w:p>
        </w:tc>
        <w:tc>
          <w:tcPr>
            <w:tcW w:w="1849" w:type="dxa"/>
            <w:shd w:val="clear" w:color="auto" w:fill="FBE3D5"/>
          </w:tcPr>
          <w:p>
            <w:pPr>
              <w:pStyle w:val="TableParagraph"/>
              <w:tabs>
                <w:tab w:pos="925" w:val="left" w:leader="none"/>
              </w:tabs>
              <w:ind w:left="73" w:right="56"/>
              <w:rPr>
                <w:sz w:val="20"/>
              </w:rPr>
            </w:pPr>
            <w:r>
              <w:rPr>
                <w:sz w:val="20"/>
              </w:rPr>
              <w:t>31. Apoyo en </w:t>
            </w:r>
            <w:r>
              <w:rPr>
                <w:spacing w:val="-7"/>
                <w:sz w:val="20"/>
              </w:rPr>
              <w:t>el </w:t>
            </w:r>
            <w:r>
              <w:rPr>
                <w:sz w:val="20"/>
              </w:rPr>
              <w:t>diseño de proyectos y</w:t>
              <w:tab/>
            </w:r>
            <w:r>
              <w:rPr>
                <w:spacing w:val="-2"/>
                <w:sz w:val="20"/>
              </w:rPr>
              <w:t>soluciones </w:t>
            </w:r>
            <w:r>
              <w:rPr>
                <w:sz w:val="20"/>
              </w:rPr>
              <w:t>tecnológicas transectoriales para los</w:t>
              <w:tab/>
            </w:r>
            <w:r>
              <w:rPr>
                <w:w w:val="95"/>
                <w:sz w:val="20"/>
              </w:rPr>
              <w:t>Complejos </w:t>
            </w:r>
            <w:r>
              <w:rPr>
                <w:sz w:val="20"/>
              </w:rPr>
              <w:t>Productivos Comunitarios</w:t>
            </w:r>
          </w:p>
        </w:tc>
        <w:tc>
          <w:tcPr>
            <w:tcW w:w="1849" w:type="dxa"/>
            <w:shd w:val="clear" w:color="auto" w:fill="FBE3D5"/>
          </w:tcPr>
          <w:p>
            <w:pPr>
              <w:pStyle w:val="TableParagraph"/>
              <w:tabs>
                <w:tab w:pos="972" w:val="left" w:leader="none"/>
              </w:tabs>
              <w:ind w:left="72" w:right="56"/>
              <w:jc w:val="both"/>
              <w:rPr>
                <w:sz w:val="20"/>
              </w:rPr>
            </w:pPr>
            <w:r>
              <w:rPr>
                <w:sz w:val="20"/>
              </w:rPr>
              <w:t>Diseño, difusión oferta y  acuerdos de apoyo </w:t>
            </w:r>
            <w:r>
              <w:rPr>
                <w:spacing w:val="-5"/>
                <w:sz w:val="20"/>
              </w:rPr>
              <w:t>con </w:t>
            </w:r>
            <w:r>
              <w:rPr>
                <w:sz w:val="20"/>
              </w:rPr>
              <w:t>Organizaciones IOCs y/o</w:t>
              <w:tab/>
            </w:r>
            <w:r>
              <w:rPr>
                <w:spacing w:val="-1"/>
                <w:sz w:val="20"/>
              </w:rPr>
              <w:t>gobiernos </w:t>
            </w:r>
            <w:r>
              <w:rPr>
                <w:sz w:val="20"/>
              </w:rPr>
              <w:t>subnacionales         </w:t>
            </w:r>
            <w:r>
              <w:rPr>
                <w:spacing w:val="2"/>
                <w:sz w:val="20"/>
              </w:rPr>
              <w:t> </w:t>
            </w:r>
            <w:r>
              <w:rPr>
                <w:sz w:val="20"/>
              </w:rPr>
              <w:t>a</w:t>
            </w:r>
          </w:p>
          <w:p>
            <w:pPr>
              <w:pStyle w:val="TableParagraph"/>
              <w:tabs>
                <w:tab w:pos="1574" w:val="left" w:leader="none"/>
              </w:tabs>
              <w:ind w:left="72" w:right="59"/>
              <w:jc w:val="both"/>
              <w:rPr>
                <w:sz w:val="20"/>
              </w:rPr>
            </w:pPr>
            <w:r>
              <w:rPr>
                <w:sz w:val="20"/>
              </w:rPr>
              <w:t>Complejos</w:t>
              <w:tab/>
            </w:r>
            <w:r>
              <w:rPr>
                <w:spacing w:val="-10"/>
                <w:sz w:val="20"/>
              </w:rPr>
              <w:t>en </w:t>
            </w:r>
            <w:r>
              <w:rPr>
                <w:sz w:val="20"/>
              </w:rPr>
              <w:t>implementación      </w:t>
            </w:r>
            <w:r>
              <w:rPr>
                <w:spacing w:val="-14"/>
                <w:sz w:val="20"/>
              </w:rPr>
              <w:t>o</w:t>
            </w:r>
          </w:p>
          <w:p>
            <w:pPr>
              <w:pStyle w:val="TableParagraph"/>
              <w:spacing w:line="223" w:lineRule="exact"/>
              <w:ind w:left="72"/>
              <w:rPr>
                <w:sz w:val="20"/>
              </w:rPr>
            </w:pPr>
            <w:r>
              <w:rPr>
                <w:sz w:val="20"/>
              </w:rPr>
              <w:t>diseño</w:t>
            </w:r>
          </w:p>
        </w:tc>
        <w:tc>
          <w:tcPr>
            <w:tcW w:w="1551" w:type="dxa"/>
            <w:shd w:val="clear" w:color="auto" w:fill="FBE3D5"/>
          </w:tcPr>
          <w:p>
            <w:pPr>
              <w:pStyle w:val="TableParagraph"/>
              <w:tabs>
                <w:tab w:pos="650" w:val="left" w:leader="none"/>
              </w:tabs>
              <w:spacing w:line="243" w:lineRule="exact"/>
              <w:ind w:left="72"/>
              <w:rPr>
                <w:sz w:val="20"/>
              </w:rPr>
            </w:pPr>
            <w:r>
              <w:rPr>
                <w:sz w:val="20"/>
              </w:rPr>
              <w:t>20</w:t>
              <w:tab/>
              <w:t>complejos</w:t>
            </w:r>
          </w:p>
          <w:p>
            <w:pPr>
              <w:pStyle w:val="TableParagraph"/>
              <w:tabs>
                <w:tab w:pos="933" w:val="left" w:leader="none"/>
              </w:tabs>
              <w:ind w:left="72" w:right="55"/>
              <w:rPr>
                <w:sz w:val="20"/>
              </w:rPr>
            </w:pPr>
            <w:r>
              <w:rPr>
                <w:sz w:val="20"/>
              </w:rPr>
              <w:t>(4</w:t>
              <w:tab/>
            </w:r>
            <w:r>
              <w:rPr>
                <w:spacing w:val="-4"/>
                <w:sz w:val="20"/>
              </w:rPr>
              <w:t>p/año) </w:t>
            </w:r>
            <w:r>
              <w:rPr>
                <w:sz w:val="20"/>
              </w:rPr>
              <w:t>reciben</w:t>
            </w:r>
            <w:r>
              <w:rPr>
                <w:spacing w:val="-1"/>
                <w:sz w:val="20"/>
              </w:rPr>
              <w:t> </w:t>
            </w:r>
            <w:r>
              <w:rPr>
                <w:sz w:val="20"/>
              </w:rPr>
              <w:t>apoyo</w:t>
            </w:r>
          </w:p>
        </w:tc>
      </w:tr>
      <w:tr>
        <w:trPr>
          <w:trHeight w:val="1710" w:hRule="atLeast"/>
        </w:trPr>
        <w:tc>
          <w:tcPr>
            <w:tcW w:w="2098" w:type="dxa"/>
            <w:vMerge/>
            <w:tcBorders>
              <w:top w:val="nil"/>
              <w:left w:val="single" w:sz="8" w:space="0" w:color="000000"/>
            </w:tcBorders>
            <w:shd w:val="clear" w:color="auto" w:fill="FBE3D5"/>
          </w:tcPr>
          <w:p>
            <w:pPr>
              <w:rPr>
                <w:sz w:val="2"/>
                <w:szCs w:val="2"/>
              </w:rPr>
            </w:pPr>
          </w:p>
        </w:tc>
        <w:tc>
          <w:tcPr>
            <w:tcW w:w="1868" w:type="dxa"/>
            <w:vMerge/>
            <w:tcBorders>
              <w:top w:val="nil"/>
            </w:tcBorders>
            <w:shd w:val="clear" w:color="auto" w:fill="FBE3D5"/>
          </w:tcPr>
          <w:p>
            <w:pPr>
              <w:rPr>
                <w:sz w:val="2"/>
                <w:szCs w:val="2"/>
              </w:rPr>
            </w:pPr>
          </w:p>
        </w:tc>
        <w:tc>
          <w:tcPr>
            <w:tcW w:w="1849" w:type="dxa"/>
            <w:shd w:val="clear" w:color="auto" w:fill="FBE3D5"/>
          </w:tcPr>
          <w:p>
            <w:pPr>
              <w:pStyle w:val="TableParagraph"/>
              <w:spacing w:line="243" w:lineRule="exact" w:before="1"/>
              <w:ind w:left="73"/>
              <w:rPr>
                <w:sz w:val="20"/>
              </w:rPr>
            </w:pPr>
            <w:r>
              <w:rPr>
                <w:sz w:val="20"/>
              </w:rPr>
              <w:t>32.</w:t>
            </w:r>
          </w:p>
          <w:p>
            <w:pPr>
              <w:pStyle w:val="TableParagraph"/>
              <w:tabs>
                <w:tab w:pos="925" w:val="left" w:leader="none"/>
                <w:tab w:pos="1226" w:val="left" w:leader="none"/>
                <w:tab w:pos="1638" w:val="left" w:leader="none"/>
              </w:tabs>
              <w:ind w:left="73" w:right="56"/>
              <w:rPr>
                <w:sz w:val="20"/>
              </w:rPr>
            </w:pPr>
            <w:r>
              <w:rPr>
                <w:sz w:val="20"/>
              </w:rPr>
              <w:t>Acompañamiento tecnológico</w:t>
              <w:tab/>
              <w:t>en</w:t>
              <w:tab/>
            </w:r>
            <w:r>
              <w:rPr>
                <w:spacing w:val="-9"/>
                <w:sz w:val="20"/>
              </w:rPr>
              <w:t>la </w:t>
            </w:r>
            <w:r>
              <w:rPr>
                <w:sz w:val="20"/>
              </w:rPr>
              <w:t>implementación </w:t>
            </w:r>
            <w:r>
              <w:rPr>
                <w:spacing w:val="-6"/>
                <w:sz w:val="20"/>
              </w:rPr>
              <w:t>de </w:t>
            </w:r>
            <w:r>
              <w:rPr>
                <w:sz w:val="20"/>
              </w:rPr>
              <w:t>los</w:t>
              <w:tab/>
            </w:r>
            <w:r>
              <w:rPr>
                <w:w w:val="95"/>
                <w:sz w:val="20"/>
              </w:rPr>
              <w:t>Complejos </w:t>
            </w:r>
            <w:r>
              <w:rPr>
                <w:sz w:val="20"/>
              </w:rPr>
              <w:t>Productivos</w:t>
            </w:r>
          </w:p>
          <w:p>
            <w:pPr>
              <w:pStyle w:val="TableParagraph"/>
              <w:spacing w:line="225" w:lineRule="exact"/>
              <w:ind w:left="73"/>
              <w:rPr>
                <w:sz w:val="20"/>
              </w:rPr>
            </w:pPr>
            <w:r>
              <w:rPr>
                <w:sz w:val="20"/>
              </w:rPr>
              <w:t>Comunitarios.</w:t>
            </w:r>
          </w:p>
        </w:tc>
        <w:tc>
          <w:tcPr>
            <w:tcW w:w="1849" w:type="dxa"/>
            <w:shd w:val="clear" w:color="auto" w:fill="FBE3D5"/>
          </w:tcPr>
          <w:p>
            <w:pPr>
              <w:pStyle w:val="TableParagraph"/>
              <w:tabs>
                <w:tab w:pos="927" w:val="left" w:leader="none"/>
                <w:tab w:pos="1572" w:val="left" w:leader="none"/>
              </w:tabs>
              <w:spacing w:before="1"/>
              <w:ind w:left="72" w:right="57"/>
              <w:rPr>
                <w:sz w:val="20"/>
              </w:rPr>
            </w:pPr>
            <w:r>
              <w:rPr>
                <w:sz w:val="20"/>
              </w:rPr>
              <w:t>Acuerdos</w:t>
              <w:tab/>
              <w:tab/>
            </w:r>
            <w:r>
              <w:rPr>
                <w:spacing w:val="-8"/>
                <w:sz w:val="20"/>
              </w:rPr>
              <w:t>de </w:t>
            </w:r>
            <w:r>
              <w:rPr>
                <w:sz w:val="20"/>
              </w:rPr>
              <w:t>acompañamiento interinstitucional con</w:t>
              <w:tab/>
            </w:r>
            <w:r>
              <w:rPr>
                <w:spacing w:val="-3"/>
                <w:sz w:val="20"/>
              </w:rPr>
              <w:t>Complejos </w:t>
            </w:r>
            <w:r>
              <w:rPr>
                <w:sz w:val="20"/>
              </w:rPr>
              <w:t>existentes</w:t>
            </w:r>
          </w:p>
        </w:tc>
        <w:tc>
          <w:tcPr>
            <w:tcW w:w="1551" w:type="dxa"/>
            <w:shd w:val="clear" w:color="auto" w:fill="FBE3D5"/>
          </w:tcPr>
          <w:p>
            <w:pPr>
              <w:pStyle w:val="TableParagraph"/>
              <w:spacing w:before="1"/>
              <w:ind w:left="72" w:firstLine="45"/>
              <w:rPr>
                <w:sz w:val="20"/>
              </w:rPr>
            </w:pPr>
            <w:r>
              <w:rPr>
                <w:sz w:val="20"/>
              </w:rPr>
              <w:t>Por lo menos 5 complejos apoyados, respaldados con informe anual</w:t>
            </w:r>
          </w:p>
        </w:tc>
      </w:tr>
    </w:tbl>
    <w:p>
      <w:pPr>
        <w:pStyle w:val="BodyText"/>
        <w:rPr>
          <w:rFonts w:ascii="Calibri"/>
          <w:b/>
          <w:sz w:val="20"/>
        </w:rPr>
      </w:pPr>
    </w:p>
    <w:p>
      <w:pPr>
        <w:pStyle w:val="BodyText"/>
        <w:spacing w:before="1"/>
        <w:rPr>
          <w:rFonts w:ascii="Calibri"/>
          <w:b/>
          <w:sz w:val="22"/>
        </w:rPr>
      </w:pPr>
    </w:p>
    <w:p>
      <w:pPr>
        <w:pStyle w:val="BodyText"/>
        <w:spacing w:line="276" w:lineRule="auto"/>
        <w:ind w:left="1082" w:right="852"/>
        <w:jc w:val="both"/>
      </w:pPr>
      <w:r>
        <w:rPr/>
        <w:t>Siendo los llamados Complejos Productivos Comunitarios, la  herramienta estratégica de constitución de los brazos productivos de las territorialidades de la Nación Quechua y de la Revolución Productiva Comunitaria que permitan un posicionamiento de envergadura en volúmenes y rubros productivos  que contribuyan a la seguridad alimentaria con soberanía, la constitución y el afianzamiento de estas corporaciones de los pueblos indígenas les puede permitir generar equilibrios entre los actores agropecuarios del país, en particular ante las dinámicas de crecimiento y pretensión de liderazgo del empresariado agroexportador.</w:t>
      </w:r>
    </w:p>
    <w:p>
      <w:pPr>
        <w:pStyle w:val="BodyText"/>
        <w:spacing w:line="276" w:lineRule="auto" w:before="202"/>
        <w:ind w:left="1082" w:right="847"/>
        <w:jc w:val="both"/>
      </w:pPr>
      <w:r>
        <w:rPr/>
        <w:t>En suscripción a las decisiones de las organizaciones IOCs quechuas y de los lineamientos agroproductivos del estado plurinacional, el centro de la interrelación que puede brindar la UNIBOL es apoyar permanentemente en la gestación, implementación de los Complejos productivos comunitarios que se implementan en territorialidades estratégicas de la nación quechua, de forma que estos complejos cuenten con el aporte de los logros institucionales concretos y operativos de agro industrialización, producción primaria, aprovechamiento sustentable y manejo integral que desde las carreras de ingeniería alimentaria, agronómica, forestal y acuícola, puedan incorporarse en los procesos productivos de estos Complejos y la incorporación de los profesionales del Yachayllajta UNIBOL tanto docentes como egresados o tesistas en aquellos que ya</w:t>
      </w:r>
      <w:r>
        <w:rPr>
          <w:spacing w:val="-6"/>
        </w:rPr>
        <w:t> </w:t>
      </w:r>
      <w:r>
        <w:rPr/>
        <w:t>existen.</w:t>
      </w:r>
    </w:p>
    <w:p>
      <w:pPr>
        <w:pStyle w:val="BodyText"/>
        <w:spacing w:line="276" w:lineRule="auto" w:before="201"/>
        <w:ind w:left="1082" w:right="853"/>
        <w:jc w:val="both"/>
      </w:pPr>
      <w:r>
        <w:rPr/>
        <w:t>Esto se reflejara en  la inclusión en los equipos de ingeniería  que estén realizando  el diseño de proyectos y soluciones tecnológicas transectoriales  para  los  Complejos Productivos Comunitarios , el Diseño</w:t>
      </w:r>
      <w:r>
        <w:rPr>
          <w:spacing w:val="24"/>
        </w:rPr>
        <w:t> </w:t>
      </w:r>
      <w:r>
        <w:rPr/>
        <w:t>mismo de estos Complejos de</w:t>
      </w:r>
    </w:p>
    <w:p>
      <w:pPr>
        <w:spacing w:after="0" w:line="276" w:lineRule="auto"/>
        <w:jc w:val="both"/>
        <w:sectPr>
          <w:pgSz w:w="11910" w:h="16840"/>
          <w:pgMar w:header="0" w:footer="922" w:top="1580" w:bottom="1200" w:left="620" w:right="280"/>
        </w:sectPr>
      </w:pPr>
    </w:p>
    <w:p>
      <w:pPr>
        <w:pStyle w:val="BodyText"/>
        <w:spacing w:line="278" w:lineRule="auto" w:before="76"/>
        <w:ind w:left="1082" w:right="852"/>
        <w:jc w:val="both"/>
      </w:pPr>
      <w:r>
        <w:rPr/>
        <w:t>forma que puedan ser gestionados como parte de los sistemas productivos de los pueblos y como opciones tecnológicas que generen excedentes económicos.</w:t>
      </w:r>
    </w:p>
    <w:p>
      <w:pPr>
        <w:pStyle w:val="BodyText"/>
        <w:spacing w:line="276" w:lineRule="auto" w:before="195"/>
        <w:ind w:left="1082" w:right="855"/>
        <w:jc w:val="both"/>
      </w:pPr>
      <w:r>
        <w:rPr/>
        <w:t>También podrá realizarse este rol mediante el acompañamiento tecnológico en la implementación de los Complejos Productivos Comunitarios ya existentes, diseñando desde el ámbito académico soluciones específicas tecnológicas y de ingeniería compatibles con el medio cultural y natural de cada caso en procesos de mediano plazo, que permitan consolidar dichos cambios de forma sustentable y con características diferenciadas de los modelos convencionales de intensificación agropecuaria y</w:t>
      </w:r>
      <w:r>
        <w:rPr>
          <w:spacing w:val="-5"/>
        </w:rPr>
        <w:t> </w:t>
      </w:r>
      <w:r>
        <w:rPr/>
        <w:t>agroindustrial.</w:t>
      </w:r>
    </w:p>
    <w:p>
      <w:pPr>
        <w:pStyle w:val="BodyText"/>
        <w:spacing w:line="276" w:lineRule="auto" w:before="200"/>
        <w:ind w:left="1082" w:right="848"/>
        <w:jc w:val="both"/>
      </w:pPr>
      <w:r>
        <w:rPr/>
        <w:t>Para esto, los directivos de UNIBOL concertaran los Acuerdos plurianuales de acompañamiento interinstitucional con Complejos existentes en la diversidad de la territorialidad quechua y de los pueblos IOCs.</w:t>
      </w:r>
    </w:p>
    <w:p>
      <w:pPr>
        <w:spacing w:before="201"/>
        <w:ind w:left="1082" w:right="0" w:firstLine="0"/>
        <w:jc w:val="both"/>
        <w:rPr>
          <w:rFonts w:ascii="Calibri"/>
          <w:b/>
          <w:sz w:val="20"/>
        </w:rPr>
      </w:pPr>
      <w:r>
        <w:rPr>
          <w:rFonts w:ascii="Calibri"/>
          <w:b/>
          <w:sz w:val="20"/>
        </w:rPr>
        <w:t>LINEA DE ACCION 11: ADECUACION DE INFRAESTRUCTURA Y EQUIPAMIENTO</w:t>
      </w:r>
    </w:p>
    <w:p>
      <w:pPr>
        <w:pStyle w:val="BodyText"/>
        <w:spacing w:before="11"/>
        <w:rPr>
          <w:rFonts w:ascii="Calibri"/>
          <w:b/>
          <w:sz w:val="14"/>
        </w:rPr>
      </w:pP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5"/>
        <w:gridCol w:w="2081"/>
        <w:gridCol w:w="1788"/>
        <w:gridCol w:w="1779"/>
        <w:gridCol w:w="1529"/>
      </w:tblGrid>
      <w:tr>
        <w:trPr>
          <w:trHeight w:val="760" w:hRule="atLeast"/>
        </w:trPr>
        <w:tc>
          <w:tcPr>
            <w:tcW w:w="2035" w:type="dxa"/>
            <w:shd w:val="clear" w:color="auto" w:fill="FF0000"/>
          </w:tcPr>
          <w:p>
            <w:pPr>
              <w:pStyle w:val="TableParagraph"/>
              <w:spacing w:before="1"/>
              <w:ind w:left="472"/>
              <w:rPr>
                <w:b/>
                <w:sz w:val="20"/>
              </w:rPr>
            </w:pPr>
            <w:r>
              <w:rPr>
                <w:b/>
                <w:sz w:val="20"/>
              </w:rPr>
              <w:t>RESULTADOS</w:t>
            </w:r>
          </w:p>
        </w:tc>
        <w:tc>
          <w:tcPr>
            <w:tcW w:w="2081" w:type="dxa"/>
            <w:shd w:val="clear" w:color="auto" w:fill="FF0000"/>
          </w:tcPr>
          <w:p>
            <w:pPr>
              <w:pStyle w:val="TableParagraph"/>
              <w:spacing w:line="278" w:lineRule="auto"/>
              <w:ind w:left="473" w:firstLine="91"/>
              <w:rPr>
                <w:b/>
                <w:sz w:val="20"/>
              </w:rPr>
            </w:pPr>
            <w:r>
              <w:rPr>
                <w:b/>
                <w:sz w:val="20"/>
              </w:rPr>
              <w:t>INDICADOR ESTRATÉGICO</w:t>
            </w:r>
          </w:p>
        </w:tc>
        <w:tc>
          <w:tcPr>
            <w:tcW w:w="1788" w:type="dxa"/>
            <w:shd w:val="clear" w:color="auto" w:fill="FF0000"/>
          </w:tcPr>
          <w:p>
            <w:pPr>
              <w:pStyle w:val="TableParagraph"/>
              <w:spacing w:before="1"/>
              <w:ind w:left="338"/>
              <w:rPr>
                <w:b/>
                <w:sz w:val="20"/>
              </w:rPr>
            </w:pPr>
            <w:r>
              <w:rPr>
                <w:b/>
                <w:sz w:val="20"/>
              </w:rPr>
              <w:t>ACTIVIDADES</w:t>
            </w:r>
          </w:p>
        </w:tc>
        <w:tc>
          <w:tcPr>
            <w:tcW w:w="1779" w:type="dxa"/>
            <w:shd w:val="clear" w:color="auto" w:fill="FF0000"/>
          </w:tcPr>
          <w:p>
            <w:pPr>
              <w:pStyle w:val="TableParagraph"/>
              <w:spacing w:before="1"/>
              <w:ind w:left="247"/>
              <w:rPr>
                <w:b/>
                <w:sz w:val="20"/>
              </w:rPr>
            </w:pPr>
            <w:r>
              <w:rPr>
                <w:b/>
                <w:sz w:val="20"/>
              </w:rPr>
              <w:t>METODOLOGIA</w:t>
            </w:r>
          </w:p>
        </w:tc>
        <w:tc>
          <w:tcPr>
            <w:tcW w:w="1529" w:type="dxa"/>
            <w:shd w:val="clear" w:color="auto" w:fill="FF0000"/>
          </w:tcPr>
          <w:p>
            <w:pPr>
              <w:pStyle w:val="TableParagraph"/>
              <w:spacing w:before="1"/>
              <w:ind w:left="190"/>
              <w:rPr>
                <w:b/>
                <w:sz w:val="20"/>
              </w:rPr>
            </w:pPr>
            <w:r>
              <w:rPr>
                <w:b/>
                <w:sz w:val="20"/>
              </w:rPr>
              <w:t>INDICADORES</w:t>
            </w:r>
          </w:p>
        </w:tc>
      </w:tr>
      <w:tr>
        <w:trPr>
          <w:trHeight w:val="2930" w:hRule="atLeast"/>
        </w:trPr>
        <w:tc>
          <w:tcPr>
            <w:tcW w:w="2035" w:type="dxa"/>
            <w:vMerge w:val="restart"/>
            <w:tcBorders>
              <w:left w:val="single" w:sz="8" w:space="0" w:color="000000"/>
            </w:tcBorders>
            <w:shd w:val="clear" w:color="auto" w:fill="FBE3D5"/>
          </w:tcPr>
          <w:p>
            <w:pPr>
              <w:pStyle w:val="TableParagraph"/>
              <w:ind w:left="69" w:right="52"/>
              <w:rPr>
                <w:sz w:val="20"/>
              </w:rPr>
            </w:pPr>
            <w:r>
              <w:rPr>
                <w:sz w:val="20"/>
              </w:rPr>
              <w:t>11. La infraestructura y equipamiento del campus universitario permite cubrir óptimamente tanto</w:t>
            </w:r>
          </w:p>
          <w:p>
            <w:pPr>
              <w:pStyle w:val="TableParagraph"/>
              <w:ind w:left="69" w:right="101"/>
              <w:rPr>
                <w:sz w:val="20"/>
              </w:rPr>
            </w:pPr>
            <w:r>
              <w:rPr>
                <w:sz w:val="20"/>
              </w:rPr>
              <w:t>los procesos de educación - producción, como la estadía en régimen de internado, optimizando la dedicación académica de la comunidad educativa residente.</w:t>
            </w:r>
          </w:p>
        </w:tc>
        <w:tc>
          <w:tcPr>
            <w:tcW w:w="2081" w:type="dxa"/>
            <w:vMerge w:val="restart"/>
            <w:shd w:val="clear" w:color="auto" w:fill="FBE3D5"/>
          </w:tcPr>
          <w:p>
            <w:pPr>
              <w:pStyle w:val="TableParagraph"/>
              <w:ind w:left="74" w:right="59"/>
              <w:rPr>
                <w:sz w:val="20"/>
              </w:rPr>
            </w:pPr>
            <w:r>
              <w:rPr>
                <w:sz w:val="20"/>
              </w:rPr>
              <w:t>Un 60 % de usuarios de residencia / comedor por una parte y usuarios de </w:t>
            </w:r>
            <w:r>
              <w:rPr>
                <w:w w:val="95"/>
                <w:sz w:val="20"/>
              </w:rPr>
              <w:t>equipos/infraestructura </w:t>
            </w:r>
            <w:r>
              <w:rPr>
                <w:sz w:val="20"/>
              </w:rPr>
              <w:t>académica, califican como aceptables sus servicios al 3er trimestre del 3ro año y del 5to</w:t>
            </w:r>
            <w:r>
              <w:rPr>
                <w:spacing w:val="-1"/>
                <w:sz w:val="20"/>
              </w:rPr>
              <w:t> </w:t>
            </w:r>
            <w:r>
              <w:rPr>
                <w:sz w:val="20"/>
              </w:rPr>
              <w:t>año</w:t>
            </w:r>
          </w:p>
        </w:tc>
        <w:tc>
          <w:tcPr>
            <w:tcW w:w="1788" w:type="dxa"/>
            <w:shd w:val="clear" w:color="auto" w:fill="FBE3D5"/>
          </w:tcPr>
          <w:p>
            <w:pPr>
              <w:pStyle w:val="TableParagraph"/>
              <w:ind w:left="74" w:right="72"/>
              <w:rPr>
                <w:sz w:val="20"/>
              </w:rPr>
            </w:pPr>
            <w:r>
              <w:rPr>
                <w:sz w:val="20"/>
              </w:rPr>
              <w:t>30. Diseño y construcción de Infraestructura y equipamiento para la calidad académica acorde a la esencia quechua y liderazgo en las 4 carreras.</w:t>
            </w:r>
          </w:p>
        </w:tc>
        <w:tc>
          <w:tcPr>
            <w:tcW w:w="1779" w:type="dxa"/>
            <w:shd w:val="clear" w:color="auto" w:fill="FBE3D5"/>
          </w:tcPr>
          <w:p>
            <w:pPr>
              <w:pStyle w:val="TableParagraph"/>
              <w:ind w:left="75" w:right="75"/>
              <w:rPr>
                <w:sz w:val="20"/>
              </w:rPr>
            </w:pPr>
            <w:r>
              <w:rPr>
                <w:sz w:val="20"/>
              </w:rPr>
              <w:t>Diseño, contratación y recepción de obras y servicios ejecutados anualmente, según priorización programada.</w:t>
            </w:r>
          </w:p>
        </w:tc>
        <w:tc>
          <w:tcPr>
            <w:tcW w:w="1529" w:type="dxa"/>
            <w:shd w:val="clear" w:color="auto" w:fill="FBE3D5"/>
          </w:tcPr>
          <w:p>
            <w:pPr>
              <w:pStyle w:val="TableParagraph"/>
              <w:ind w:left="75" w:right="119"/>
              <w:rPr>
                <w:sz w:val="20"/>
              </w:rPr>
            </w:pPr>
            <w:r>
              <w:rPr>
                <w:sz w:val="20"/>
              </w:rPr>
              <w:t>C/POA incluye la puesta en servicio de mejoras en: laboratorios, talleres, </w:t>
            </w:r>
            <w:r>
              <w:rPr>
                <w:spacing w:val="-3"/>
                <w:sz w:val="20"/>
              </w:rPr>
              <w:t>campos </w:t>
            </w:r>
            <w:r>
              <w:rPr>
                <w:sz w:val="20"/>
              </w:rPr>
              <w:t>de práctica, insumos, logística de traslado y estadía</w:t>
            </w:r>
            <w:r>
              <w:rPr>
                <w:spacing w:val="-2"/>
                <w:sz w:val="20"/>
              </w:rPr>
              <w:t> </w:t>
            </w:r>
            <w:r>
              <w:rPr>
                <w:sz w:val="20"/>
              </w:rPr>
              <w:t>extra</w:t>
            </w:r>
          </w:p>
          <w:p>
            <w:pPr>
              <w:pStyle w:val="TableParagraph"/>
              <w:spacing w:line="225" w:lineRule="exact"/>
              <w:ind w:left="75"/>
              <w:rPr>
                <w:sz w:val="20"/>
              </w:rPr>
            </w:pPr>
            <w:r>
              <w:rPr>
                <w:sz w:val="20"/>
              </w:rPr>
              <w:t>campus.</w:t>
            </w:r>
          </w:p>
        </w:tc>
      </w:tr>
      <w:tr>
        <w:trPr>
          <w:trHeight w:val="1953" w:hRule="atLeast"/>
        </w:trPr>
        <w:tc>
          <w:tcPr>
            <w:tcW w:w="2035" w:type="dxa"/>
            <w:vMerge/>
            <w:tcBorders>
              <w:top w:val="nil"/>
              <w:left w:val="single" w:sz="8" w:space="0" w:color="000000"/>
            </w:tcBorders>
            <w:shd w:val="clear" w:color="auto" w:fill="FBE3D5"/>
          </w:tcPr>
          <w:p>
            <w:pPr>
              <w:rPr>
                <w:sz w:val="2"/>
                <w:szCs w:val="2"/>
              </w:rPr>
            </w:pPr>
          </w:p>
        </w:tc>
        <w:tc>
          <w:tcPr>
            <w:tcW w:w="2081" w:type="dxa"/>
            <w:vMerge/>
            <w:tcBorders>
              <w:top w:val="nil"/>
            </w:tcBorders>
            <w:shd w:val="clear" w:color="auto" w:fill="FBE3D5"/>
          </w:tcPr>
          <w:p>
            <w:pPr>
              <w:rPr>
                <w:sz w:val="2"/>
                <w:szCs w:val="2"/>
              </w:rPr>
            </w:pPr>
          </w:p>
        </w:tc>
        <w:tc>
          <w:tcPr>
            <w:tcW w:w="1788" w:type="dxa"/>
            <w:shd w:val="clear" w:color="auto" w:fill="FBE3D5"/>
          </w:tcPr>
          <w:p>
            <w:pPr>
              <w:pStyle w:val="TableParagraph"/>
              <w:ind w:left="74" w:right="121"/>
              <w:rPr>
                <w:sz w:val="20"/>
              </w:rPr>
            </w:pPr>
            <w:r>
              <w:rPr>
                <w:sz w:val="20"/>
              </w:rPr>
              <w:t>31. Mejora de infraestructura y servicios de comedor y residencia, acordes con el vivir bien</w:t>
            </w:r>
          </w:p>
        </w:tc>
        <w:tc>
          <w:tcPr>
            <w:tcW w:w="1779" w:type="dxa"/>
            <w:shd w:val="clear" w:color="auto" w:fill="FBE3D5"/>
          </w:tcPr>
          <w:p>
            <w:pPr>
              <w:pStyle w:val="TableParagraph"/>
              <w:ind w:left="75" w:right="125"/>
              <w:rPr>
                <w:sz w:val="20"/>
              </w:rPr>
            </w:pPr>
            <w:r>
              <w:rPr>
                <w:sz w:val="20"/>
              </w:rPr>
              <w:t>Diseño, contratación y recepción de obras y servicios ejecutados anualmente, </w:t>
            </w:r>
            <w:r>
              <w:rPr>
                <w:spacing w:val="-4"/>
                <w:sz w:val="20"/>
              </w:rPr>
              <w:t>según </w:t>
            </w:r>
            <w:r>
              <w:rPr>
                <w:sz w:val="20"/>
              </w:rPr>
              <w:t>priorización</w:t>
            </w:r>
          </w:p>
          <w:p>
            <w:pPr>
              <w:pStyle w:val="TableParagraph"/>
              <w:spacing w:line="225" w:lineRule="exact"/>
              <w:ind w:left="75"/>
              <w:rPr>
                <w:sz w:val="20"/>
              </w:rPr>
            </w:pPr>
            <w:r>
              <w:rPr>
                <w:sz w:val="20"/>
              </w:rPr>
              <w:t>programada.</w:t>
            </w:r>
          </w:p>
        </w:tc>
        <w:tc>
          <w:tcPr>
            <w:tcW w:w="1529" w:type="dxa"/>
            <w:shd w:val="clear" w:color="auto" w:fill="FBE3D5"/>
          </w:tcPr>
          <w:p>
            <w:pPr>
              <w:pStyle w:val="TableParagraph"/>
              <w:ind w:left="75" w:right="43"/>
              <w:rPr>
                <w:sz w:val="20"/>
              </w:rPr>
            </w:pPr>
            <w:r>
              <w:rPr>
                <w:sz w:val="20"/>
              </w:rPr>
              <w:t>c/POA incluye la puesta en servicio de mejoras en : albergues, comedores, logística de</w:t>
            </w:r>
          </w:p>
          <w:p>
            <w:pPr>
              <w:pStyle w:val="TableParagraph"/>
              <w:spacing w:line="225" w:lineRule="exact"/>
              <w:ind w:left="75"/>
              <w:rPr>
                <w:sz w:val="20"/>
              </w:rPr>
            </w:pPr>
            <w:r>
              <w:rPr>
                <w:sz w:val="20"/>
              </w:rPr>
              <w:t>apoyo</w:t>
            </w:r>
          </w:p>
        </w:tc>
      </w:tr>
      <w:tr>
        <w:trPr>
          <w:trHeight w:val="2685" w:hRule="atLeast"/>
        </w:trPr>
        <w:tc>
          <w:tcPr>
            <w:tcW w:w="2035" w:type="dxa"/>
            <w:vMerge/>
            <w:tcBorders>
              <w:top w:val="nil"/>
              <w:left w:val="single" w:sz="8" w:space="0" w:color="000000"/>
            </w:tcBorders>
            <w:shd w:val="clear" w:color="auto" w:fill="FBE3D5"/>
          </w:tcPr>
          <w:p>
            <w:pPr>
              <w:rPr>
                <w:sz w:val="2"/>
                <w:szCs w:val="2"/>
              </w:rPr>
            </w:pPr>
          </w:p>
        </w:tc>
        <w:tc>
          <w:tcPr>
            <w:tcW w:w="2081" w:type="dxa"/>
            <w:vMerge/>
            <w:tcBorders>
              <w:top w:val="nil"/>
            </w:tcBorders>
            <w:shd w:val="clear" w:color="auto" w:fill="FBE3D5"/>
          </w:tcPr>
          <w:p>
            <w:pPr>
              <w:rPr>
                <w:sz w:val="2"/>
                <w:szCs w:val="2"/>
              </w:rPr>
            </w:pPr>
          </w:p>
        </w:tc>
        <w:tc>
          <w:tcPr>
            <w:tcW w:w="1788" w:type="dxa"/>
            <w:shd w:val="clear" w:color="auto" w:fill="FBE3D5"/>
          </w:tcPr>
          <w:p>
            <w:pPr>
              <w:pStyle w:val="TableParagraph"/>
              <w:ind w:left="74" w:right="46"/>
              <w:rPr>
                <w:sz w:val="20"/>
              </w:rPr>
            </w:pPr>
            <w:r>
              <w:rPr>
                <w:sz w:val="20"/>
              </w:rPr>
              <w:t>32. Aplicación de un ordenamiento espacial de los campos de práctica y convivencia en armonía con un paisaje biocultural</w:t>
            </w:r>
          </w:p>
        </w:tc>
        <w:tc>
          <w:tcPr>
            <w:tcW w:w="1779" w:type="dxa"/>
            <w:shd w:val="clear" w:color="auto" w:fill="FBE3D5"/>
          </w:tcPr>
          <w:p>
            <w:pPr>
              <w:pStyle w:val="TableParagraph"/>
              <w:ind w:left="75" w:right="75"/>
              <w:rPr>
                <w:sz w:val="20"/>
              </w:rPr>
            </w:pPr>
            <w:r>
              <w:rPr>
                <w:sz w:val="20"/>
              </w:rPr>
              <w:t>Diseño, contratación y recepción de obras y servicios ejecutados anualmente, según priorización programada, además de aplicación de</w:t>
            </w:r>
          </w:p>
          <w:p>
            <w:pPr>
              <w:pStyle w:val="TableParagraph"/>
              <w:spacing w:line="225" w:lineRule="exact"/>
              <w:ind w:left="75"/>
              <w:rPr>
                <w:sz w:val="20"/>
              </w:rPr>
            </w:pPr>
            <w:r>
              <w:rPr>
                <w:sz w:val="20"/>
              </w:rPr>
              <w:t>normas de gestión.</w:t>
            </w:r>
          </w:p>
        </w:tc>
        <w:tc>
          <w:tcPr>
            <w:tcW w:w="1529" w:type="dxa"/>
            <w:shd w:val="clear" w:color="auto" w:fill="FBE3D5"/>
          </w:tcPr>
          <w:p>
            <w:pPr>
              <w:pStyle w:val="TableParagraph"/>
              <w:ind w:left="75" w:right="43"/>
              <w:rPr>
                <w:sz w:val="20"/>
              </w:rPr>
            </w:pPr>
            <w:r>
              <w:rPr>
                <w:sz w:val="20"/>
              </w:rPr>
              <w:t>c/POA incluye la puesta en servicio de mejoras en ordenamiento espacial y funcionalidad</w:t>
            </w:r>
          </w:p>
        </w:tc>
      </w:tr>
    </w:tbl>
    <w:p>
      <w:pPr>
        <w:spacing w:after="0"/>
        <w:rPr>
          <w:sz w:val="20"/>
        </w:rPr>
        <w:sectPr>
          <w:pgSz w:w="11910" w:h="16840"/>
          <w:pgMar w:header="0" w:footer="922" w:top="1320" w:bottom="1200" w:left="620" w:right="280"/>
        </w:sectPr>
      </w:pPr>
    </w:p>
    <w:p>
      <w:pPr>
        <w:pStyle w:val="BodyText"/>
        <w:spacing w:line="259" w:lineRule="auto" w:before="76"/>
        <w:ind w:left="1082" w:right="854"/>
        <w:jc w:val="both"/>
      </w:pPr>
      <w:r>
        <w:rPr/>
        <w:t>Siendo que el diseño académico que propone un proceso educativo y de profesionalización en permanente interacción con el medio y la implementación del desafío de la generación de aportes tecnológicos, re dinamización de saberes a las estrategias económico productivos de los pueblos y territorialidades que permitan una posicionamiento de la universidad con un perfil de profesionales con  alta calidad y como ciudadela del saber y la tecnología productiva , se requieren condiciones logísticas y operativas  tanto en la misma Yachayllajta o ciudadela  como en los espacios territoriales en los que se genere una presencia sostenida para lograr estos</w:t>
      </w:r>
      <w:r>
        <w:rPr>
          <w:spacing w:val="-1"/>
        </w:rPr>
        <w:t> </w:t>
      </w:r>
      <w:r>
        <w:rPr/>
        <w:t>desafíos.</w:t>
      </w:r>
    </w:p>
    <w:p>
      <w:pPr>
        <w:pStyle w:val="BodyText"/>
        <w:spacing w:line="259" w:lineRule="auto" w:before="159"/>
        <w:ind w:left="1082" w:right="854"/>
        <w:jc w:val="both"/>
      </w:pPr>
      <w:r>
        <w:rPr/>
        <w:t>En ese orden, se deberán tomar las medidas necesarias para que la infraestructura  y equipamiento del campus universitario permita cubrir óptimamente tanto los procesos de educación – producción con la calidad e innovación conveniente, así como la estadía en régimen de internado como materialización del vivir bien con responsabilidad comunitaria y sujeta a la vigencia de los derechos colectivos y en bien común, optimizando la dedicación académica de la comunidad educativa residente.</w:t>
      </w:r>
    </w:p>
    <w:p>
      <w:pPr>
        <w:pStyle w:val="BodyText"/>
        <w:spacing w:line="259" w:lineRule="auto" w:before="158"/>
        <w:ind w:left="1082" w:right="849"/>
        <w:jc w:val="both"/>
      </w:pPr>
      <w:r>
        <w:rPr/>
        <w:t>Esta implica la construcción de infraestructuras o la adecuación necesaria para disponer de laboratorios que requieran cada carrera complementarias a las actuales, que sean acordes a cada nivel de desarrollo de la formación, bajo el paradigma del aprender haciendo que significa una formación aplicada y basada en el ejercicio constante de la prueba y experimentación como contraste y complemento del aprendizaje en gabinete. Así mismo implicara la implementación de espacios de experimentación y prueba controlada tanto para cultivos, crianzas, tratamientos y procesos , en los que se desarrollen las respuestas a los requerimientos  territoriales, gubernativos y de productores de las territorialidades  quechuas  e IOCs. La disponibilidad de esta capacidad instalada será determinante para mostrar la característica metodológica y de experticia que diferencie y caracterice al y la profesional aportada por la UNIBOL al requerimiento de desarrollo e ingenierías agroproductivas que requiere el país. Este será un rasgo distintivo que muestre el sentido de llamarse Yachayllajta o ciudadela de tecnología y saberes al conjunto del amplio predio de la UNIBOL</w:t>
      </w:r>
      <w:r>
        <w:rPr>
          <w:spacing w:val="-4"/>
        </w:rPr>
        <w:t> </w:t>
      </w:r>
      <w:r>
        <w:rPr/>
        <w:t>Quechua.</w:t>
      </w:r>
    </w:p>
    <w:p>
      <w:pPr>
        <w:pStyle w:val="BodyText"/>
        <w:spacing w:line="259" w:lineRule="auto" w:before="157"/>
        <w:ind w:left="1082" w:right="853"/>
        <w:jc w:val="both"/>
      </w:pPr>
      <w:r>
        <w:rPr/>
        <w:t>Con estas características, se realizara paulatinamente en cada gestión durante los 5 años del quinquenio, diversos diseño finales y se procederá a la construcción de Infraestructura y la puesta en servicio del equipamiento para la calidad académica acorde a la esencia quechua y el liderazgo de esta Universidad en las 4 carreras a nivel de país. Esta acción podrá incluir la dotación de logística de traslado y equipos para la estadía extra campus e insitu. Si la capacidad de negociación lo permite, podrá considerarse la posibilidad de lograr la donación o acceso en alguna modalidad de largo plazo a predios en el vecino área alto andina y valles cercamos al trópico y de esta a el área de inundación amazónica, mismas que están en el transepto de acceso y desplazamiento rápido al que tiene acceso la misma territorialidad quechua y de la que forma parte también</w:t>
      </w:r>
      <w:r>
        <w:rPr>
          <w:spacing w:val="-13"/>
        </w:rPr>
        <w:t> </w:t>
      </w:r>
      <w:r>
        <w:rPr/>
        <w:t>Chimore.</w:t>
      </w:r>
    </w:p>
    <w:p>
      <w:pPr>
        <w:pStyle w:val="BodyText"/>
        <w:spacing w:line="259" w:lineRule="auto" w:before="159"/>
        <w:ind w:left="1082" w:right="856"/>
        <w:jc w:val="both"/>
      </w:pPr>
      <w:r>
        <w:rPr/>
        <w:t>A la par de aquellas mejoras académicas, las condiciones de vivencia cotidiana, como los servicios de alimentación, reposo, atención de salud y Mejora de</w:t>
      </w:r>
    </w:p>
    <w:p>
      <w:pPr>
        <w:spacing w:after="0" w:line="259" w:lineRule="auto"/>
        <w:jc w:val="both"/>
        <w:sectPr>
          <w:pgSz w:w="11910" w:h="16840"/>
          <w:pgMar w:header="0" w:footer="922" w:top="1320" w:bottom="1200" w:left="620" w:right="280"/>
        </w:sectPr>
      </w:pPr>
    </w:p>
    <w:p>
      <w:pPr>
        <w:pStyle w:val="BodyText"/>
        <w:spacing w:line="259" w:lineRule="auto" w:before="76"/>
        <w:ind w:left="1082" w:right="852"/>
        <w:jc w:val="both"/>
      </w:pPr>
      <w:r>
        <w:rPr/>
        <w:t>infraestructura y servicios de comedor y residencia, salud acordes con el vivir bien, en un marco de construcción de comunidad de vida y a la vez de diferenciación y complementariedad de genero acorde a un concepto generacional conveniente para un centro educativo superior de internado, que a la vez  permita  un  básico desarrollo de los cánones de vida quechua doméstico y estatal, contemporáneo y precolonial como fue el estado inka, y a la vez</w:t>
      </w:r>
      <w:r>
        <w:rPr>
          <w:spacing w:val="54"/>
        </w:rPr>
        <w:t> </w:t>
      </w:r>
      <w:r>
        <w:rPr/>
        <w:t>contemporáneo.</w:t>
      </w:r>
    </w:p>
    <w:p>
      <w:pPr>
        <w:pStyle w:val="BodyText"/>
        <w:spacing w:line="259" w:lineRule="auto" w:before="160"/>
        <w:ind w:left="1082" w:right="849"/>
        <w:jc w:val="both"/>
      </w:pPr>
      <w:r>
        <w:rPr/>
        <w:t>Esta readecuación y optimización de ambos grupos de infraestructuras, se deben completar con un planeamiento del conjunto del espacio de la Yachayllajta en un concepto de planificación territorial que considerando las necesidades académicas, de residencia, de practica y de circulación actuales, también prevea el ordenamiento espacial para el futuro desarrollo de la ciudadela de saber y tecnología productiva, previendo los servicios, de agua, alcantarillados, vías cableados etc, que sean necesarios, de forma que, además de requerir  recursos  estatales,  permitan generar opciones de autofinanciamiento  sea en recursos  monetarios o en especie, y donde el trabajo comunitario sea desarrollado. Así mismo este reordenamiento además de considerar una espacialidad pedagógica de los edificios y la simbología quechua o prever la seguridad externa y facilidades para el control comunitario del régimen interno de convivencia. La Aplicación de este ordenamiento espacial de los campos de práctica y convivencia pretenderá generar condiciones bioenergéticas que contribuyan estudiar en armonía con un paisaje biocultural y funcionalidad contemporánea.</w:t>
      </w:r>
    </w:p>
    <w:p>
      <w:pPr>
        <w:spacing w:before="159"/>
        <w:ind w:left="1082" w:right="0" w:firstLine="0"/>
        <w:jc w:val="both"/>
        <w:rPr>
          <w:rFonts w:ascii="Calibri"/>
          <w:b/>
          <w:sz w:val="20"/>
        </w:rPr>
      </w:pPr>
      <w:r>
        <w:rPr>
          <w:rFonts w:ascii="Calibri"/>
          <w:b/>
          <w:sz w:val="20"/>
        </w:rPr>
        <w:t>LINEA DE ACCION12 : SISTEMA PREPARATORIO DE PREADMISION (AJLLAS)</w:t>
      </w:r>
    </w:p>
    <w:p>
      <w:pPr>
        <w:pStyle w:val="BodyText"/>
        <w:spacing w:before="9"/>
        <w:rPr>
          <w:rFonts w:ascii="Calibri"/>
          <w:b/>
          <w:sz w:val="20"/>
        </w:r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1794"/>
        <w:gridCol w:w="2051"/>
        <w:gridCol w:w="1799"/>
        <w:gridCol w:w="1525"/>
      </w:tblGrid>
      <w:tr>
        <w:trPr>
          <w:trHeight w:val="760" w:hRule="atLeast"/>
        </w:trPr>
        <w:tc>
          <w:tcPr>
            <w:tcW w:w="2038" w:type="dxa"/>
            <w:shd w:val="clear" w:color="auto" w:fill="4F81BC"/>
          </w:tcPr>
          <w:p>
            <w:pPr>
              <w:pStyle w:val="TableParagraph"/>
              <w:spacing w:before="1"/>
              <w:ind w:left="470"/>
              <w:rPr>
                <w:b/>
                <w:sz w:val="20"/>
              </w:rPr>
            </w:pPr>
            <w:r>
              <w:rPr>
                <w:b/>
                <w:color w:val="FFFFFF"/>
                <w:sz w:val="20"/>
              </w:rPr>
              <w:t>RESULTADOS</w:t>
            </w:r>
          </w:p>
        </w:tc>
        <w:tc>
          <w:tcPr>
            <w:tcW w:w="1794" w:type="dxa"/>
            <w:shd w:val="clear" w:color="auto" w:fill="4F81BC"/>
          </w:tcPr>
          <w:p>
            <w:pPr>
              <w:pStyle w:val="TableParagraph"/>
              <w:spacing w:line="278" w:lineRule="auto"/>
              <w:ind w:left="323" w:firstLine="88"/>
              <w:rPr>
                <w:b/>
                <w:sz w:val="20"/>
              </w:rPr>
            </w:pPr>
            <w:r>
              <w:rPr>
                <w:b/>
                <w:color w:val="FFFFFF"/>
                <w:sz w:val="20"/>
              </w:rPr>
              <w:t>INDICADOR </w:t>
            </w:r>
            <w:r>
              <w:rPr>
                <w:b/>
                <w:color w:val="FFFFFF"/>
                <w:w w:val="95"/>
                <w:sz w:val="20"/>
              </w:rPr>
              <w:t>ESTRATÉGICO</w:t>
            </w:r>
          </w:p>
        </w:tc>
        <w:tc>
          <w:tcPr>
            <w:tcW w:w="2051" w:type="dxa"/>
            <w:shd w:val="clear" w:color="auto" w:fill="4F81BC"/>
          </w:tcPr>
          <w:p>
            <w:pPr>
              <w:pStyle w:val="TableParagraph"/>
              <w:spacing w:before="1"/>
              <w:ind w:left="464"/>
              <w:rPr>
                <w:b/>
                <w:sz w:val="20"/>
              </w:rPr>
            </w:pPr>
            <w:r>
              <w:rPr>
                <w:b/>
                <w:color w:val="FFFFFF"/>
                <w:sz w:val="20"/>
              </w:rPr>
              <w:t>ACTIVIDADES</w:t>
            </w:r>
          </w:p>
        </w:tc>
        <w:tc>
          <w:tcPr>
            <w:tcW w:w="1799" w:type="dxa"/>
            <w:shd w:val="clear" w:color="auto" w:fill="4F81BC"/>
          </w:tcPr>
          <w:p>
            <w:pPr>
              <w:pStyle w:val="TableParagraph"/>
              <w:spacing w:before="1"/>
              <w:ind w:left="249"/>
              <w:rPr>
                <w:b/>
                <w:sz w:val="20"/>
              </w:rPr>
            </w:pPr>
            <w:r>
              <w:rPr>
                <w:b/>
                <w:color w:val="FFFFFF"/>
                <w:sz w:val="20"/>
              </w:rPr>
              <w:t>METODOLOGIA</w:t>
            </w:r>
          </w:p>
        </w:tc>
        <w:tc>
          <w:tcPr>
            <w:tcW w:w="1525" w:type="dxa"/>
            <w:shd w:val="clear" w:color="auto" w:fill="4F81BC"/>
          </w:tcPr>
          <w:p>
            <w:pPr>
              <w:pStyle w:val="TableParagraph"/>
              <w:spacing w:before="1"/>
              <w:ind w:left="179"/>
              <w:rPr>
                <w:b/>
                <w:sz w:val="20"/>
              </w:rPr>
            </w:pPr>
            <w:r>
              <w:rPr>
                <w:b/>
                <w:color w:val="FFFFFF"/>
                <w:sz w:val="20"/>
              </w:rPr>
              <w:t>INDICADORES</w:t>
            </w:r>
          </w:p>
        </w:tc>
      </w:tr>
      <w:tr>
        <w:trPr>
          <w:trHeight w:val="263" w:hRule="atLeast"/>
        </w:trPr>
        <w:tc>
          <w:tcPr>
            <w:tcW w:w="2038" w:type="dxa"/>
            <w:tcBorders>
              <w:bottom w:val="nil"/>
            </w:tcBorders>
            <w:shd w:val="clear" w:color="auto" w:fill="DBE4F0"/>
          </w:tcPr>
          <w:p>
            <w:pPr>
              <w:pStyle w:val="TableParagraph"/>
              <w:spacing w:line="242" w:lineRule="exact" w:before="1"/>
              <w:ind w:left="69"/>
              <w:rPr>
                <w:sz w:val="20"/>
              </w:rPr>
            </w:pPr>
            <w:r>
              <w:rPr>
                <w:sz w:val="20"/>
              </w:rPr>
              <w:t>12. La población</w:t>
            </w:r>
          </w:p>
        </w:tc>
        <w:tc>
          <w:tcPr>
            <w:tcW w:w="1794" w:type="dxa"/>
            <w:tcBorders>
              <w:bottom w:val="nil"/>
            </w:tcBorders>
            <w:shd w:val="clear" w:color="auto" w:fill="DBE4F0"/>
          </w:tcPr>
          <w:p>
            <w:pPr>
              <w:pStyle w:val="TableParagraph"/>
              <w:spacing w:line="242" w:lineRule="exact" w:before="1"/>
              <w:ind w:left="68"/>
              <w:rPr>
                <w:sz w:val="20"/>
              </w:rPr>
            </w:pPr>
            <w:r>
              <w:rPr>
                <w:sz w:val="20"/>
              </w:rPr>
              <w:t>xxx jóvenes</w:t>
            </w:r>
          </w:p>
        </w:tc>
        <w:tc>
          <w:tcPr>
            <w:tcW w:w="2051" w:type="dxa"/>
            <w:tcBorders>
              <w:bottom w:val="nil"/>
            </w:tcBorders>
            <w:shd w:val="clear" w:color="auto" w:fill="DBE4F0"/>
          </w:tcPr>
          <w:p>
            <w:pPr>
              <w:pStyle w:val="TableParagraph"/>
              <w:spacing w:line="242" w:lineRule="exact" w:before="1"/>
              <w:ind w:left="68"/>
              <w:rPr>
                <w:sz w:val="20"/>
              </w:rPr>
            </w:pPr>
            <w:r>
              <w:rPr>
                <w:sz w:val="20"/>
              </w:rPr>
              <w:t>33. Diseño y</w:t>
            </w:r>
          </w:p>
        </w:tc>
        <w:tc>
          <w:tcPr>
            <w:tcW w:w="1799" w:type="dxa"/>
            <w:tcBorders>
              <w:bottom w:val="nil"/>
            </w:tcBorders>
            <w:shd w:val="clear" w:color="auto" w:fill="DBE4F0"/>
          </w:tcPr>
          <w:p>
            <w:pPr>
              <w:pStyle w:val="TableParagraph"/>
              <w:spacing w:line="242" w:lineRule="exact" w:before="1"/>
              <w:ind w:left="67"/>
              <w:rPr>
                <w:sz w:val="20"/>
              </w:rPr>
            </w:pPr>
            <w:r>
              <w:rPr>
                <w:sz w:val="20"/>
              </w:rPr>
              <w:t>Modificación de</w:t>
            </w:r>
          </w:p>
        </w:tc>
        <w:tc>
          <w:tcPr>
            <w:tcW w:w="1525" w:type="dxa"/>
            <w:tcBorders>
              <w:bottom w:val="nil"/>
            </w:tcBorders>
            <w:shd w:val="clear" w:color="auto" w:fill="DBE4F0"/>
          </w:tcPr>
          <w:p>
            <w:pPr>
              <w:pStyle w:val="TableParagraph"/>
              <w:spacing w:line="242" w:lineRule="exact" w:before="1"/>
              <w:ind w:left="66"/>
              <w:rPr>
                <w:sz w:val="20"/>
              </w:rPr>
            </w:pPr>
            <w:r>
              <w:rPr>
                <w:sz w:val="20"/>
              </w:rPr>
              <w:t>Documento</w:t>
            </w:r>
          </w:p>
        </w:tc>
      </w:tr>
      <w:tr>
        <w:trPr>
          <w:trHeight w:val="243" w:hRule="atLeast"/>
        </w:trPr>
        <w:tc>
          <w:tcPr>
            <w:tcW w:w="2038" w:type="dxa"/>
            <w:tcBorders>
              <w:top w:val="nil"/>
              <w:bottom w:val="nil"/>
            </w:tcBorders>
            <w:shd w:val="clear" w:color="auto" w:fill="DBE4F0"/>
          </w:tcPr>
          <w:p>
            <w:pPr>
              <w:pStyle w:val="TableParagraph"/>
              <w:spacing w:line="224" w:lineRule="exact"/>
              <w:ind w:left="69"/>
              <w:rPr>
                <w:sz w:val="20"/>
              </w:rPr>
            </w:pPr>
            <w:r>
              <w:rPr>
                <w:sz w:val="20"/>
              </w:rPr>
              <w:t>juvenil de las</w:t>
            </w:r>
          </w:p>
        </w:tc>
        <w:tc>
          <w:tcPr>
            <w:tcW w:w="1794" w:type="dxa"/>
            <w:tcBorders>
              <w:top w:val="nil"/>
              <w:bottom w:val="nil"/>
            </w:tcBorders>
            <w:shd w:val="clear" w:color="auto" w:fill="DBE4F0"/>
          </w:tcPr>
          <w:p>
            <w:pPr>
              <w:pStyle w:val="TableParagraph"/>
              <w:spacing w:line="224" w:lineRule="exact"/>
              <w:ind w:left="68"/>
              <w:rPr>
                <w:sz w:val="20"/>
              </w:rPr>
            </w:pPr>
            <w:r>
              <w:rPr>
                <w:sz w:val="20"/>
              </w:rPr>
              <w:t>equitativamente</w:t>
            </w:r>
          </w:p>
        </w:tc>
        <w:tc>
          <w:tcPr>
            <w:tcW w:w="2051" w:type="dxa"/>
            <w:tcBorders>
              <w:top w:val="nil"/>
              <w:bottom w:val="nil"/>
            </w:tcBorders>
            <w:shd w:val="clear" w:color="auto" w:fill="DBE4F0"/>
          </w:tcPr>
          <w:p>
            <w:pPr>
              <w:pStyle w:val="TableParagraph"/>
              <w:spacing w:line="224" w:lineRule="exact"/>
              <w:ind w:left="68"/>
              <w:rPr>
                <w:sz w:val="20"/>
              </w:rPr>
            </w:pPr>
            <w:r>
              <w:rPr>
                <w:sz w:val="20"/>
              </w:rPr>
              <w:t>aprobación de sistema</w:t>
            </w:r>
          </w:p>
        </w:tc>
        <w:tc>
          <w:tcPr>
            <w:tcW w:w="1799" w:type="dxa"/>
            <w:tcBorders>
              <w:top w:val="nil"/>
              <w:bottom w:val="nil"/>
            </w:tcBorders>
            <w:shd w:val="clear" w:color="auto" w:fill="DBE4F0"/>
          </w:tcPr>
          <w:p>
            <w:pPr>
              <w:pStyle w:val="TableParagraph"/>
              <w:spacing w:line="224" w:lineRule="exact"/>
              <w:ind w:left="67"/>
              <w:rPr>
                <w:sz w:val="20"/>
              </w:rPr>
            </w:pPr>
            <w:r>
              <w:rPr>
                <w:sz w:val="20"/>
              </w:rPr>
              <w:t>reglamento de</w:t>
            </w:r>
          </w:p>
        </w:tc>
        <w:tc>
          <w:tcPr>
            <w:tcW w:w="1525" w:type="dxa"/>
            <w:tcBorders>
              <w:top w:val="nil"/>
              <w:bottom w:val="nil"/>
            </w:tcBorders>
            <w:shd w:val="clear" w:color="auto" w:fill="DBE4F0"/>
          </w:tcPr>
          <w:p>
            <w:pPr>
              <w:pStyle w:val="TableParagraph"/>
              <w:spacing w:line="224" w:lineRule="exact"/>
              <w:ind w:left="66"/>
              <w:rPr>
                <w:sz w:val="20"/>
              </w:rPr>
            </w:pPr>
            <w:r>
              <w:rPr>
                <w:sz w:val="20"/>
              </w:rPr>
              <w:t>aprobado</w:t>
            </w:r>
          </w:p>
        </w:tc>
      </w:tr>
      <w:tr>
        <w:trPr>
          <w:trHeight w:val="244" w:hRule="atLeast"/>
        </w:trPr>
        <w:tc>
          <w:tcPr>
            <w:tcW w:w="2038" w:type="dxa"/>
            <w:tcBorders>
              <w:top w:val="nil"/>
              <w:bottom w:val="nil"/>
            </w:tcBorders>
            <w:shd w:val="clear" w:color="auto" w:fill="DBE4F0"/>
          </w:tcPr>
          <w:p>
            <w:pPr>
              <w:pStyle w:val="TableParagraph"/>
              <w:spacing w:line="225" w:lineRule="exact"/>
              <w:ind w:left="69"/>
              <w:rPr>
                <w:sz w:val="20"/>
              </w:rPr>
            </w:pPr>
            <w:r>
              <w:rPr>
                <w:sz w:val="20"/>
              </w:rPr>
              <w:t>territorialidades de la</w:t>
            </w:r>
          </w:p>
        </w:tc>
        <w:tc>
          <w:tcPr>
            <w:tcW w:w="1794" w:type="dxa"/>
            <w:tcBorders>
              <w:top w:val="nil"/>
              <w:bottom w:val="nil"/>
            </w:tcBorders>
            <w:shd w:val="clear" w:color="auto" w:fill="DBE4F0"/>
          </w:tcPr>
          <w:p>
            <w:pPr>
              <w:pStyle w:val="TableParagraph"/>
              <w:spacing w:line="225" w:lineRule="exact"/>
              <w:ind w:left="68"/>
              <w:rPr>
                <w:sz w:val="20"/>
              </w:rPr>
            </w:pPr>
            <w:r>
              <w:rPr>
                <w:sz w:val="20"/>
              </w:rPr>
              <w:t>compuesto por</w:t>
            </w:r>
          </w:p>
        </w:tc>
        <w:tc>
          <w:tcPr>
            <w:tcW w:w="2051" w:type="dxa"/>
            <w:tcBorders>
              <w:top w:val="nil"/>
              <w:bottom w:val="nil"/>
            </w:tcBorders>
            <w:shd w:val="clear" w:color="auto" w:fill="DBE4F0"/>
          </w:tcPr>
          <w:p>
            <w:pPr>
              <w:pStyle w:val="TableParagraph"/>
              <w:spacing w:line="225" w:lineRule="exact"/>
              <w:ind w:left="68"/>
              <w:rPr>
                <w:sz w:val="20"/>
              </w:rPr>
            </w:pPr>
            <w:r>
              <w:rPr>
                <w:sz w:val="20"/>
              </w:rPr>
              <w:t>AJLLAS de motivación,</w:t>
            </w:r>
          </w:p>
        </w:tc>
        <w:tc>
          <w:tcPr>
            <w:tcW w:w="1799" w:type="dxa"/>
            <w:tcBorders>
              <w:top w:val="nil"/>
              <w:bottom w:val="nil"/>
            </w:tcBorders>
            <w:shd w:val="clear" w:color="auto" w:fill="DBE4F0"/>
          </w:tcPr>
          <w:p>
            <w:pPr>
              <w:pStyle w:val="TableParagraph"/>
              <w:spacing w:line="225" w:lineRule="exact"/>
              <w:ind w:left="67"/>
              <w:rPr>
                <w:sz w:val="20"/>
              </w:rPr>
            </w:pPr>
            <w:r>
              <w:rPr>
                <w:sz w:val="20"/>
              </w:rPr>
              <w:t>admisión</w:t>
            </w:r>
          </w:p>
        </w:tc>
        <w:tc>
          <w:tcPr>
            <w:tcW w:w="1525" w:type="dxa"/>
            <w:tcBorders>
              <w:top w:val="nil"/>
              <w:bottom w:val="nil"/>
            </w:tcBorders>
            <w:shd w:val="clear" w:color="auto" w:fill="DBE4F0"/>
          </w:tcPr>
          <w:p>
            <w:pPr>
              <w:pStyle w:val="TableParagraph"/>
              <w:spacing w:line="225" w:lineRule="exact"/>
              <w:ind w:left="66"/>
              <w:rPr>
                <w:sz w:val="20"/>
              </w:rPr>
            </w:pPr>
            <w:r>
              <w:rPr>
                <w:sz w:val="20"/>
              </w:rPr>
              <w:t>vigente</w:t>
            </w:r>
          </w:p>
        </w:tc>
      </w:tr>
      <w:tr>
        <w:trPr>
          <w:trHeight w:val="244" w:hRule="atLeast"/>
        </w:trPr>
        <w:tc>
          <w:tcPr>
            <w:tcW w:w="2038" w:type="dxa"/>
            <w:tcBorders>
              <w:top w:val="nil"/>
              <w:bottom w:val="nil"/>
            </w:tcBorders>
            <w:shd w:val="clear" w:color="auto" w:fill="DBE4F0"/>
          </w:tcPr>
          <w:p>
            <w:pPr>
              <w:pStyle w:val="TableParagraph"/>
              <w:spacing w:line="225" w:lineRule="exact"/>
              <w:ind w:left="69"/>
              <w:rPr>
                <w:sz w:val="20"/>
              </w:rPr>
            </w:pPr>
            <w:r>
              <w:rPr>
                <w:sz w:val="20"/>
              </w:rPr>
              <w:t>Nación Quechua</w:t>
            </w:r>
          </w:p>
        </w:tc>
        <w:tc>
          <w:tcPr>
            <w:tcW w:w="1794" w:type="dxa"/>
            <w:tcBorders>
              <w:top w:val="nil"/>
              <w:bottom w:val="nil"/>
            </w:tcBorders>
            <w:shd w:val="clear" w:color="auto" w:fill="DBE4F0"/>
          </w:tcPr>
          <w:p>
            <w:pPr>
              <w:pStyle w:val="TableParagraph"/>
              <w:spacing w:line="225" w:lineRule="exact"/>
              <w:ind w:left="68"/>
              <w:rPr>
                <w:sz w:val="20"/>
              </w:rPr>
            </w:pPr>
            <w:r>
              <w:rPr>
                <w:sz w:val="20"/>
              </w:rPr>
              <w:t>mujeres-</w:t>
            </w:r>
          </w:p>
        </w:tc>
        <w:tc>
          <w:tcPr>
            <w:tcW w:w="2051" w:type="dxa"/>
            <w:tcBorders>
              <w:top w:val="nil"/>
              <w:bottom w:val="nil"/>
            </w:tcBorders>
            <w:shd w:val="clear" w:color="auto" w:fill="DBE4F0"/>
          </w:tcPr>
          <w:p>
            <w:pPr>
              <w:pStyle w:val="TableParagraph"/>
              <w:spacing w:line="225" w:lineRule="exact"/>
              <w:ind w:left="68"/>
              <w:rPr>
                <w:sz w:val="20"/>
              </w:rPr>
            </w:pPr>
            <w:r>
              <w:rPr>
                <w:sz w:val="20"/>
              </w:rPr>
              <w:t>pre admisión de</w:t>
            </w:r>
          </w:p>
        </w:tc>
        <w:tc>
          <w:tcPr>
            <w:tcW w:w="1799" w:type="dxa"/>
            <w:tcBorders>
              <w:top w:val="nil"/>
              <w:bottom w:val="nil"/>
            </w:tcBorders>
            <w:shd w:val="clear" w:color="auto" w:fill="DBE4F0"/>
          </w:tcPr>
          <w:p>
            <w:pPr>
              <w:pStyle w:val="TableParagraph"/>
              <w:rPr>
                <w:rFonts w:ascii="Times New Roman"/>
                <w:sz w:val="16"/>
              </w:rPr>
            </w:pPr>
          </w:p>
        </w:tc>
        <w:tc>
          <w:tcPr>
            <w:tcW w:w="1525" w:type="dxa"/>
            <w:tcBorders>
              <w:top w:val="nil"/>
              <w:bottom w:val="nil"/>
            </w:tcBorders>
            <w:shd w:val="clear" w:color="auto" w:fill="DBE4F0"/>
          </w:tcPr>
          <w:p>
            <w:pPr>
              <w:pStyle w:val="TableParagraph"/>
              <w:rPr>
                <w:rFonts w:ascii="Times New Roman"/>
                <w:sz w:val="16"/>
              </w:rPr>
            </w:pPr>
          </w:p>
        </w:tc>
      </w:tr>
      <w:tr>
        <w:trPr>
          <w:trHeight w:val="224" w:hRule="atLeast"/>
        </w:trPr>
        <w:tc>
          <w:tcPr>
            <w:tcW w:w="2038" w:type="dxa"/>
            <w:tcBorders>
              <w:top w:val="nil"/>
              <w:bottom w:val="nil"/>
            </w:tcBorders>
            <w:shd w:val="clear" w:color="auto" w:fill="DBE4F0"/>
          </w:tcPr>
          <w:p>
            <w:pPr>
              <w:pStyle w:val="TableParagraph"/>
              <w:spacing w:line="205" w:lineRule="exact"/>
              <w:ind w:left="69"/>
              <w:rPr>
                <w:sz w:val="20"/>
              </w:rPr>
            </w:pPr>
            <w:r>
              <w:rPr>
                <w:sz w:val="20"/>
              </w:rPr>
              <w:t>aspirante a la UNIBOL.</w:t>
            </w:r>
          </w:p>
        </w:tc>
        <w:tc>
          <w:tcPr>
            <w:tcW w:w="1794" w:type="dxa"/>
            <w:tcBorders>
              <w:top w:val="nil"/>
              <w:bottom w:val="nil"/>
            </w:tcBorders>
            <w:shd w:val="clear" w:color="auto" w:fill="DBE4F0"/>
          </w:tcPr>
          <w:p>
            <w:pPr>
              <w:pStyle w:val="TableParagraph"/>
              <w:spacing w:line="205" w:lineRule="exact"/>
              <w:ind w:left="68"/>
              <w:rPr>
                <w:sz w:val="20"/>
              </w:rPr>
            </w:pPr>
            <w:r>
              <w:rPr>
                <w:sz w:val="20"/>
              </w:rPr>
              <w:t>hombres/territoriali</w:t>
            </w:r>
          </w:p>
        </w:tc>
        <w:tc>
          <w:tcPr>
            <w:tcW w:w="2051" w:type="dxa"/>
            <w:tcBorders>
              <w:top w:val="nil"/>
            </w:tcBorders>
            <w:shd w:val="clear" w:color="auto" w:fill="DBE4F0"/>
          </w:tcPr>
          <w:p>
            <w:pPr>
              <w:pStyle w:val="TableParagraph"/>
              <w:spacing w:line="205" w:lineRule="exact"/>
              <w:ind w:left="68"/>
              <w:rPr>
                <w:sz w:val="20"/>
              </w:rPr>
            </w:pPr>
            <w:r>
              <w:rPr>
                <w:sz w:val="20"/>
              </w:rPr>
              <w:t>aspirantes al UNIBOL</w:t>
            </w:r>
          </w:p>
        </w:tc>
        <w:tc>
          <w:tcPr>
            <w:tcW w:w="1799" w:type="dxa"/>
            <w:tcBorders>
              <w:top w:val="nil"/>
            </w:tcBorders>
            <w:shd w:val="clear" w:color="auto" w:fill="DBE4F0"/>
          </w:tcPr>
          <w:p>
            <w:pPr>
              <w:pStyle w:val="TableParagraph"/>
              <w:rPr>
                <w:rFonts w:ascii="Times New Roman"/>
                <w:sz w:val="16"/>
              </w:rPr>
            </w:pPr>
          </w:p>
        </w:tc>
        <w:tc>
          <w:tcPr>
            <w:tcW w:w="1525" w:type="dxa"/>
            <w:tcBorders>
              <w:top w:val="nil"/>
            </w:tcBorders>
            <w:shd w:val="clear" w:color="auto" w:fill="DBE4F0"/>
          </w:tcPr>
          <w:p>
            <w:pPr>
              <w:pStyle w:val="TableParagraph"/>
              <w:rPr>
                <w:rFonts w:ascii="Times New Roman"/>
                <w:sz w:val="16"/>
              </w:rPr>
            </w:pPr>
          </w:p>
        </w:tc>
      </w:tr>
      <w:tr>
        <w:trPr>
          <w:trHeight w:val="257" w:hRule="atLeast"/>
        </w:trPr>
        <w:tc>
          <w:tcPr>
            <w:tcW w:w="2038" w:type="dxa"/>
            <w:tcBorders>
              <w:top w:val="nil"/>
              <w:bottom w:val="nil"/>
            </w:tcBorders>
            <w:shd w:val="clear" w:color="auto" w:fill="DBE4F0"/>
          </w:tcPr>
          <w:p>
            <w:pPr>
              <w:pStyle w:val="TableParagraph"/>
              <w:spacing w:line="234" w:lineRule="exact"/>
              <w:ind w:left="69"/>
              <w:rPr>
                <w:sz w:val="20"/>
              </w:rPr>
            </w:pPr>
            <w:r>
              <w:rPr>
                <w:sz w:val="20"/>
              </w:rPr>
              <w:t>tiene información y</w:t>
            </w:r>
          </w:p>
        </w:tc>
        <w:tc>
          <w:tcPr>
            <w:tcW w:w="1794" w:type="dxa"/>
            <w:tcBorders>
              <w:top w:val="nil"/>
              <w:bottom w:val="nil"/>
            </w:tcBorders>
            <w:shd w:val="clear" w:color="auto" w:fill="DBE4F0"/>
          </w:tcPr>
          <w:p>
            <w:pPr>
              <w:pStyle w:val="TableParagraph"/>
              <w:spacing w:line="234" w:lineRule="exact"/>
              <w:ind w:left="68"/>
              <w:rPr>
                <w:sz w:val="20"/>
              </w:rPr>
            </w:pPr>
            <w:r>
              <w:rPr>
                <w:sz w:val="20"/>
              </w:rPr>
              <w:t>dad, han superado</w:t>
            </w:r>
          </w:p>
        </w:tc>
        <w:tc>
          <w:tcPr>
            <w:tcW w:w="2051" w:type="dxa"/>
            <w:tcBorders>
              <w:bottom w:val="nil"/>
            </w:tcBorders>
            <w:shd w:val="clear" w:color="auto" w:fill="DBE4F0"/>
          </w:tcPr>
          <w:p>
            <w:pPr>
              <w:pStyle w:val="TableParagraph"/>
              <w:spacing w:line="237" w:lineRule="exact"/>
              <w:ind w:left="68"/>
              <w:rPr>
                <w:sz w:val="20"/>
              </w:rPr>
            </w:pPr>
            <w:r>
              <w:rPr>
                <w:sz w:val="20"/>
              </w:rPr>
              <w:t>34. Aplicación de</w:t>
            </w:r>
          </w:p>
        </w:tc>
        <w:tc>
          <w:tcPr>
            <w:tcW w:w="1799" w:type="dxa"/>
            <w:tcBorders>
              <w:bottom w:val="nil"/>
            </w:tcBorders>
            <w:shd w:val="clear" w:color="auto" w:fill="DBE4F0"/>
          </w:tcPr>
          <w:p>
            <w:pPr>
              <w:pStyle w:val="TableParagraph"/>
              <w:spacing w:line="237" w:lineRule="exact"/>
              <w:ind w:left="67"/>
              <w:rPr>
                <w:sz w:val="20"/>
              </w:rPr>
            </w:pPr>
            <w:r>
              <w:rPr>
                <w:sz w:val="20"/>
              </w:rPr>
              <w:t>Campaña de</w:t>
            </w:r>
          </w:p>
        </w:tc>
        <w:tc>
          <w:tcPr>
            <w:tcW w:w="1525" w:type="dxa"/>
            <w:tcBorders>
              <w:bottom w:val="nil"/>
            </w:tcBorders>
            <w:shd w:val="clear" w:color="auto" w:fill="DBE4F0"/>
          </w:tcPr>
          <w:p>
            <w:pPr>
              <w:pStyle w:val="TableParagraph"/>
              <w:spacing w:line="237" w:lineRule="exact"/>
              <w:ind w:left="66"/>
              <w:rPr>
                <w:sz w:val="20"/>
              </w:rPr>
            </w:pPr>
            <w:r>
              <w:rPr>
                <w:sz w:val="20"/>
              </w:rPr>
              <w:t>Comisión</w:t>
            </w:r>
          </w:p>
        </w:tc>
      </w:tr>
      <w:tr>
        <w:trPr>
          <w:trHeight w:val="244" w:hRule="atLeast"/>
        </w:trPr>
        <w:tc>
          <w:tcPr>
            <w:tcW w:w="2038" w:type="dxa"/>
            <w:tcBorders>
              <w:top w:val="nil"/>
              <w:bottom w:val="nil"/>
            </w:tcBorders>
            <w:shd w:val="clear" w:color="auto" w:fill="DBE4F0"/>
          </w:tcPr>
          <w:p>
            <w:pPr>
              <w:pStyle w:val="TableParagraph"/>
              <w:spacing w:line="221" w:lineRule="exact"/>
              <w:ind w:left="69"/>
              <w:rPr>
                <w:sz w:val="20"/>
              </w:rPr>
            </w:pPr>
            <w:r>
              <w:rPr>
                <w:sz w:val="20"/>
              </w:rPr>
              <w:t>participa</w:t>
            </w:r>
          </w:p>
        </w:tc>
        <w:tc>
          <w:tcPr>
            <w:tcW w:w="1794" w:type="dxa"/>
            <w:tcBorders>
              <w:top w:val="nil"/>
              <w:bottom w:val="nil"/>
            </w:tcBorders>
            <w:shd w:val="clear" w:color="auto" w:fill="DBE4F0"/>
          </w:tcPr>
          <w:p>
            <w:pPr>
              <w:pStyle w:val="TableParagraph"/>
              <w:spacing w:line="221" w:lineRule="exact"/>
              <w:ind w:left="68"/>
              <w:rPr>
                <w:sz w:val="20"/>
              </w:rPr>
            </w:pPr>
            <w:r>
              <w:rPr>
                <w:sz w:val="20"/>
              </w:rPr>
              <w:t>el proceso y pueden</w:t>
            </w:r>
          </w:p>
        </w:tc>
        <w:tc>
          <w:tcPr>
            <w:tcW w:w="2051" w:type="dxa"/>
            <w:tcBorders>
              <w:top w:val="nil"/>
              <w:bottom w:val="nil"/>
            </w:tcBorders>
            <w:shd w:val="clear" w:color="auto" w:fill="DBE4F0"/>
          </w:tcPr>
          <w:p>
            <w:pPr>
              <w:pStyle w:val="TableParagraph"/>
              <w:spacing w:line="225" w:lineRule="exact"/>
              <w:ind w:left="68"/>
              <w:rPr>
                <w:sz w:val="20"/>
              </w:rPr>
            </w:pPr>
            <w:r>
              <w:rPr>
                <w:sz w:val="20"/>
              </w:rPr>
              <w:t>sistema AJLLAS de</w:t>
            </w:r>
          </w:p>
        </w:tc>
        <w:tc>
          <w:tcPr>
            <w:tcW w:w="1799" w:type="dxa"/>
            <w:tcBorders>
              <w:top w:val="nil"/>
              <w:bottom w:val="nil"/>
            </w:tcBorders>
            <w:shd w:val="clear" w:color="auto" w:fill="DBE4F0"/>
          </w:tcPr>
          <w:p>
            <w:pPr>
              <w:pStyle w:val="TableParagraph"/>
              <w:spacing w:line="225" w:lineRule="exact"/>
              <w:ind w:left="67"/>
              <w:rPr>
                <w:sz w:val="20"/>
              </w:rPr>
            </w:pPr>
            <w:r>
              <w:rPr>
                <w:sz w:val="20"/>
              </w:rPr>
              <w:t>preparación</w:t>
            </w:r>
          </w:p>
        </w:tc>
        <w:tc>
          <w:tcPr>
            <w:tcW w:w="1525" w:type="dxa"/>
            <w:tcBorders>
              <w:top w:val="nil"/>
              <w:bottom w:val="nil"/>
            </w:tcBorders>
            <w:shd w:val="clear" w:color="auto" w:fill="DBE4F0"/>
          </w:tcPr>
          <w:p>
            <w:pPr>
              <w:pStyle w:val="TableParagraph"/>
              <w:spacing w:line="225" w:lineRule="exact"/>
              <w:ind w:left="66"/>
              <w:rPr>
                <w:sz w:val="20"/>
              </w:rPr>
            </w:pPr>
            <w:r>
              <w:rPr>
                <w:sz w:val="20"/>
              </w:rPr>
              <w:t>Organizaciones</w:t>
            </w:r>
          </w:p>
        </w:tc>
      </w:tr>
      <w:tr>
        <w:trPr>
          <w:trHeight w:val="244" w:hRule="atLeast"/>
        </w:trPr>
        <w:tc>
          <w:tcPr>
            <w:tcW w:w="2038" w:type="dxa"/>
            <w:tcBorders>
              <w:top w:val="nil"/>
              <w:bottom w:val="nil"/>
            </w:tcBorders>
            <w:shd w:val="clear" w:color="auto" w:fill="DBE4F0"/>
          </w:tcPr>
          <w:p>
            <w:pPr>
              <w:pStyle w:val="TableParagraph"/>
              <w:spacing w:line="221" w:lineRule="exact"/>
              <w:ind w:left="69"/>
              <w:rPr>
                <w:sz w:val="20"/>
              </w:rPr>
            </w:pPr>
            <w:r>
              <w:rPr>
                <w:sz w:val="20"/>
              </w:rPr>
              <w:t>orgánicamente en</w:t>
            </w:r>
          </w:p>
        </w:tc>
        <w:tc>
          <w:tcPr>
            <w:tcW w:w="1794" w:type="dxa"/>
            <w:tcBorders>
              <w:top w:val="nil"/>
              <w:bottom w:val="nil"/>
            </w:tcBorders>
            <w:shd w:val="clear" w:color="auto" w:fill="DBE4F0"/>
          </w:tcPr>
          <w:p>
            <w:pPr>
              <w:pStyle w:val="TableParagraph"/>
              <w:spacing w:line="221" w:lineRule="exact"/>
              <w:ind w:left="68"/>
              <w:rPr>
                <w:sz w:val="20"/>
              </w:rPr>
            </w:pPr>
            <w:r>
              <w:rPr>
                <w:sz w:val="20"/>
              </w:rPr>
              <w:t>inscribirse en la</w:t>
            </w:r>
          </w:p>
        </w:tc>
        <w:tc>
          <w:tcPr>
            <w:tcW w:w="2051" w:type="dxa"/>
            <w:tcBorders>
              <w:top w:val="nil"/>
              <w:bottom w:val="nil"/>
            </w:tcBorders>
            <w:shd w:val="clear" w:color="auto" w:fill="DBE4F0"/>
          </w:tcPr>
          <w:p>
            <w:pPr>
              <w:pStyle w:val="TableParagraph"/>
              <w:spacing w:line="224" w:lineRule="exact"/>
              <w:ind w:left="68"/>
              <w:rPr>
                <w:sz w:val="20"/>
              </w:rPr>
            </w:pPr>
            <w:r>
              <w:rPr>
                <w:sz w:val="20"/>
              </w:rPr>
              <w:t>selección de aspirantes</w:t>
            </w:r>
          </w:p>
        </w:tc>
        <w:tc>
          <w:tcPr>
            <w:tcW w:w="1799" w:type="dxa"/>
            <w:tcBorders>
              <w:top w:val="nil"/>
              <w:bottom w:val="nil"/>
            </w:tcBorders>
            <w:shd w:val="clear" w:color="auto" w:fill="DBE4F0"/>
          </w:tcPr>
          <w:p>
            <w:pPr>
              <w:pStyle w:val="TableParagraph"/>
              <w:spacing w:line="224" w:lineRule="exact"/>
              <w:ind w:left="67"/>
              <w:rPr>
                <w:sz w:val="20"/>
              </w:rPr>
            </w:pPr>
            <w:r>
              <w:rPr>
                <w:sz w:val="20"/>
              </w:rPr>
              <w:t>concursable por</w:t>
            </w:r>
          </w:p>
        </w:tc>
        <w:tc>
          <w:tcPr>
            <w:tcW w:w="1525" w:type="dxa"/>
            <w:tcBorders>
              <w:top w:val="nil"/>
              <w:bottom w:val="nil"/>
            </w:tcBorders>
            <w:shd w:val="clear" w:color="auto" w:fill="DBE4F0"/>
          </w:tcPr>
          <w:p>
            <w:pPr>
              <w:pStyle w:val="TableParagraph"/>
              <w:spacing w:line="224" w:lineRule="exact"/>
              <w:ind w:left="66"/>
              <w:rPr>
                <w:sz w:val="20"/>
              </w:rPr>
            </w:pPr>
            <w:r>
              <w:rPr>
                <w:sz w:val="20"/>
              </w:rPr>
              <w:t>IOCs de</w:t>
            </w:r>
          </w:p>
        </w:tc>
      </w:tr>
      <w:tr>
        <w:trPr>
          <w:trHeight w:val="244" w:hRule="atLeast"/>
        </w:trPr>
        <w:tc>
          <w:tcPr>
            <w:tcW w:w="2038" w:type="dxa"/>
            <w:tcBorders>
              <w:top w:val="nil"/>
              <w:bottom w:val="nil"/>
            </w:tcBorders>
            <w:shd w:val="clear" w:color="auto" w:fill="DBE4F0"/>
          </w:tcPr>
          <w:p>
            <w:pPr>
              <w:pStyle w:val="TableParagraph"/>
              <w:spacing w:line="220" w:lineRule="exact"/>
              <w:ind w:left="69"/>
              <w:rPr>
                <w:sz w:val="20"/>
              </w:rPr>
            </w:pPr>
            <w:r>
              <w:rPr>
                <w:sz w:val="20"/>
              </w:rPr>
              <w:t>procesos de</w:t>
            </w:r>
          </w:p>
        </w:tc>
        <w:tc>
          <w:tcPr>
            <w:tcW w:w="1794" w:type="dxa"/>
            <w:tcBorders>
              <w:top w:val="nil"/>
              <w:bottom w:val="nil"/>
            </w:tcBorders>
            <w:shd w:val="clear" w:color="auto" w:fill="DBE4F0"/>
          </w:tcPr>
          <w:p>
            <w:pPr>
              <w:pStyle w:val="TableParagraph"/>
              <w:spacing w:line="220" w:lineRule="exact"/>
              <w:ind w:left="68"/>
              <w:rPr>
                <w:sz w:val="20"/>
              </w:rPr>
            </w:pPr>
            <w:r>
              <w:rPr>
                <w:sz w:val="20"/>
              </w:rPr>
              <w:t>UNIBOL</w:t>
            </w:r>
          </w:p>
        </w:tc>
        <w:tc>
          <w:tcPr>
            <w:tcW w:w="2051" w:type="dxa"/>
            <w:tcBorders>
              <w:top w:val="nil"/>
              <w:bottom w:val="nil"/>
            </w:tcBorders>
            <w:shd w:val="clear" w:color="auto" w:fill="DBE4F0"/>
          </w:tcPr>
          <w:p>
            <w:pPr>
              <w:pStyle w:val="TableParagraph"/>
              <w:rPr>
                <w:rFonts w:ascii="Times New Roman"/>
                <w:sz w:val="16"/>
              </w:rPr>
            </w:pPr>
          </w:p>
        </w:tc>
        <w:tc>
          <w:tcPr>
            <w:tcW w:w="1799" w:type="dxa"/>
            <w:tcBorders>
              <w:top w:val="nil"/>
              <w:bottom w:val="nil"/>
            </w:tcBorders>
            <w:shd w:val="clear" w:color="auto" w:fill="DBE4F0"/>
          </w:tcPr>
          <w:p>
            <w:pPr>
              <w:pStyle w:val="TableParagraph"/>
              <w:spacing w:line="225" w:lineRule="exact"/>
              <w:ind w:left="67"/>
              <w:rPr>
                <w:sz w:val="20"/>
              </w:rPr>
            </w:pPr>
            <w:r>
              <w:rPr>
                <w:sz w:val="20"/>
              </w:rPr>
              <w:t>necesidad</w:t>
            </w:r>
          </w:p>
        </w:tc>
        <w:tc>
          <w:tcPr>
            <w:tcW w:w="1525" w:type="dxa"/>
            <w:tcBorders>
              <w:top w:val="nil"/>
              <w:bottom w:val="nil"/>
            </w:tcBorders>
            <w:shd w:val="clear" w:color="auto" w:fill="DBE4F0"/>
          </w:tcPr>
          <w:p>
            <w:pPr>
              <w:pStyle w:val="TableParagraph"/>
              <w:spacing w:line="225" w:lineRule="exact"/>
              <w:ind w:left="66"/>
              <w:rPr>
                <w:sz w:val="20"/>
              </w:rPr>
            </w:pPr>
            <w:r>
              <w:rPr>
                <w:sz w:val="20"/>
              </w:rPr>
              <w:t>Departamentos</w:t>
            </w:r>
          </w:p>
        </w:tc>
      </w:tr>
      <w:tr>
        <w:trPr>
          <w:trHeight w:val="243" w:hRule="atLeast"/>
        </w:trPr>
        <w:tc>
          <w:tcPr>
            <w:tcW w:w="2038" w:type="dxa"/>
            <w:tcBorders>
              <w:top w:val="nil"/>
              <w:bottom w:val="nil"/>
            </w:tcBorders>
            <w:shd w:val="clear" w:color="auto" w:fill="DBE4F0"/>
          </w:tcPr>
          <w:p>
            <w:pPr>
              <w:pStyle w:val="TableParagraph"/>
              <w:spacing w:line="220" w:lineRule="exact"/>
              <w:ind w:left="69"/>
              <w:rPr>
                <w:sz w:val="20"/>
              </w:rPr>
            </w:pPr>
            <w:r>
              <w:rPr>
                <w:sz w:val="20"/>
              </w:rPr>
              <w:t>preparación/pre</w:t>
            </w:r>
          </w:p>
        </w:tc>
        <w:tc>
          <w:tcPr>
            <w:tcW w:w="1794" w:type="dxa"/>
            <w:tcBorders>
              <w:top w:val="nil"/>
              <w:bottom w:val="nil"/>
            </w:tcBorders>
            <w:shd w:val="clear" w:color="auto" w:fill="DBE4F0"/>
          </w:tcPr>
          <w:p>
            <w:pPr>
              <w:pStyle w:val="TableParagraph"/>
              <w:rPr>
                <w:rFonts w:ascii="Times New Roman"/>
                <w:sz w:val="16"/>
              </w:rPr>
            </w:pPr>
          </w:p>
        </w:tc>
        <w:tc>
          <w:tcPr>
            <w:tcW w:w="2051" w:type="dxa"/>
            <w:tcBorders>
              <w:top w:val="nil"/>
              <w:bottom w:val="nil"/>
            </w:tcBorders>
            <w:shd w:val="clear" w:color="auto" w:fill="DBE4F0"/>
          </w:tcPr>
          <w:p>
            <w:pPr>
              <w:pStyle w:val="TableParagraph"/>
              <w:rPr>
                <w:rFonts w:ascii="Times New Roman"/>
                <w:sz w:val="16"/>
              </w:rPr>
            </w:pPr>
          </w:p>
        </w:tc>
        <w:tc>
          <w:tcPr>
            <w:tcW w:w="1799" w:type="dxa"/>
            <w:tcBorders>
              <w:top w:val="nil"/>
              <w:bottom w:val="nil"/>
            </w:tcBorders>
            <w:shd w:val="clear" w:color="auto" w:fill="DBE4F0"/>
          </w:tcPr>
          <w:p>
            <w:pPr>
              <w:pStyle w:val="TableParagraph"/>
              <w:spacing w:line="224" w:lineRule="exact"/>
              <w:ind w:left="67"/>
              <w:rPr>
                <w:sz w:val="20"/>
              </w:rPr>
            </w:pPr>
            <w:r>
              <w:rPr>
                <w:sz w:val="20"/>
              </w:rPr>
              <w:t>regional/aptitudes</w:t>
            </w:r>
          </w:p>
        </w:tc>
        <w:tc>
          <w:tcPr>
            <w:tcW w:w="1525" w:type="dxa"/>
            <w:tcBorders>
              <w:top w:val="nil"/>
              <w:bottom w:val="nil"/>
            </w:tcBorders>
            <w:shd w:val="clear" w:color="auto" w:fill="DBE4F0"/>
          </w:tcPr>
          <w:p>
            <w:pPr>
              <w:pStyle w:val="TableParagraph"/>
              <w:spacing w:line="224" w:lineRule="exact"/>
              <w:ind w:left="66"/>
              <w:rPr>
                <w:sz w:val="20"/>
              </w:rPr>
            </w:pPr>
            <w:r>
              <w:rPr>
                <w:sz w:val="20"/>
              </w:rPr>
              <w:t>con presencia de</w:t>
            </w:r>
          </w:p>
        </w:tc>
      </w:tr>
      <w:tr>
        <w:trPr>
          <w:trHeight w:val="249" w:hRule="atLeast"/>
        </w:trPr>
        <w:tc>
          <w:tcPr>
            <w:tcW w:w="2038" w:type="dxa"/>
            <w:tcBorders>
              <w:top w:val="nil"/>
              <w:bottom w:val="nil"/>
            </w:tcBorders>
            <w:shd w:val="clear" w:color="auto" w:fill="DBE4F0"/>
          </w:tcPr>
          <w:p>
            <w:pPr>
              <w:pStyle w:val="TableParagraph"/>
              <w:spacing w:line="221" w:lineRule="exact"/>
              <w:ind w:left="69"/>
              <w:rPr>
                <w:sz w:val="20"/>
              </w:rPr>
            </w:pPr>
            <w:r>
              <w:rPr>
                <w:sz w:val="20"/>
              </w:rPr>
              <w:t>admisión establecidos</w:t>
            </w:r>
          </w:p>
        </w:tc>
        <w:tc>
          <w:tcPr>
            <w:tcW w:w="1794" w:type="dxa"/>
            <w:tcBorders>
              <w:top w:val="nil"/>
              <w:bottom w:val="nil"/>
            </w:tcBorders>
            <w:shd w:val="clear" w:color="auto" w:fill="DBE4F0"/>
          </w:tcPr>
          <w:p>
            <w:pPr>
              <w:pStyle w:val="TableParagraph"/>
              <w:rPr>
                <w:rFonts w:ascii="Times New Roman"/>
                <w:sz w:val="18"/>
              </w:rPr>
            </w:pPr>
          </w:p>
        </w:tc>
        <w:tc>
          <w:tcPr>
            <w:tcW w:w="2051" w:type="dxa"/>
            <w:tcBorders>
              <w:top w:val="nil"/>
              <w:bottom w:val="nil"/>
            </w:tcBorders>
            <w:shd w:val="clear" w:color="auto" w:fill="DBE4F0"/>
          </w:tcPr>
          <w:p>
            <w:pPr>
              <w:pStyle w:val="TableParagraph"/>
              <w:rPr>
                <w:rFonts w:ascii="Times New Roman"/>
                <w:sz w:val="18"/>
              </w:rPr>
            </w:pPr>
          </w:p>
        </w:tc>
        <w:tc>
          <w:tcPr>
            <w:tcW w:w="1799" w:type="dxa"/>
            <w:tcBorders>
              <w:top w:val="nil"/>
              <w:bottom w:val="nil"/>
            </w:tcBorders>
            <w:shd w:val="clear" w:color="auto" w:fill="DBE4F0"/>
          </w:tcPr>
          <w:p>
            <w:pPr>
              <w:pStyle w:val="TableParagraph"/>
              <w:rPr>
                <w:rFonts w:ascii="Times New Roman"/>
                <w:sz w:val="18"/>
              </w:rPr>
            </w:pPr>
          </w:p>
        </w:tc>
        <w:tc>
          <w:tcPr>
            <w:tcW w:w="1525" w:type="dxa"/>
            <w:tcBorders>
              <w:top w:val="nil"/>
              <w:bottom w:val="nil"/>
            </w:tcBorders>
            <w:shd w:val="clear" w:color="auto" w:fill="DBE4F0"/>
          </w:tcPr>
          <w:p>
            <w:pPr>
              <w:pStyle w:val="TableParagraph"/>
              <w:spacing w:line="230" w:lineRule="exact"/>
              <w:ind w:left="66"/>
              <w:rPr>
                <w:sz w:val="20"/>
              </w:rPr>
            </w:pPr>
            <w:r>
              <w:rPr>
                <w:sz w:val="20"/>
              </w:rPr>
              <w:t>Nación</w:t>
            </w:r>
          </w:p>
        </w:tc>
      </w:tr>
      <w:tr>
        <w:trPr>
          <w:trHeight w:val="244" w:hRule="atLeast"/>
        </w:trPr>
        <w:tc>
          <w:tcPr>
            <w:tcW w:w="2038" w:type="dxa"/>
            <w:tcBorders>
              <w:top w:val="nil"/>
              <w:bottom w:val="nil"/>
            </w:tcBorders>
            <w:shd w:val="clear" w:color="auto" w:fill="DBE4F0"/>
          </w:tcPr>
          <w:p>
            <w:pPr>
              <w:pStyle w:val="TableParagraph"/>
              <w:rPr>
                <w:rFonts w:ascii="Times New Roman"/>
                <w:sz w:val="16"/>
              </w:rPr>
            </w:pPr>
          </w:p>
        </w:tc>
        <w:tc>
          <w:tcPr>
            <w:tcW w:w="1794" w:type="dxa"/>
            <w:tcBorders>
              <w:top w:val="nil"/>
              <w:bottom w:val="nil"/>
            </w:tcBorders>
            <w:shd w:val="clear" w:color="auto" w:fill="DBE4F0"/>
          </w:tcPr>
          <w:p>
            <w:pPr>
              <w:pStyle w:val="TableParagraph"/>
              <w:rPr>
                <w:rFonts w:ascii="Times New Roman"/>
                <w:sz w:val="16"/>
              </w:rPr>
            </w:pPr>
          </w:p>
        </w:tc>
        <w:tc>
          <w:tcPr>
            <w:tcW w:w="2051" w:type="dxa"/>
            <w:tcBorders>
              <w:top w:val="nil"/>
              <w:bottom w:val="nil"/>
            </w:tcBorders>
            <w:shd w:val="clear" w:color="auto" w:fill="DBE4F0"/>
          </w:tcPr>
          <w:p>
            <w:pPr>
              <w:pStyle w:val="TableParagraph"/>
              <w:rPr>
                <w:rFonts w:ascii="Times New Roman"/>
                <w:sz w:val="16"/>
              </w:rPr>
            </w:pPr>
          </w:p>
        </w:tc>
        <w:tc>
          <w:tcPr>
            <w:tcW w:w="1799" w:type="dxa"/>
            <w:tcBorders>
              <w:top w:val="nil"/>
              <w:bottom w:val="nil"/>
            </w:tcBorders>
            <w:shd w:val="clear" w:color="auto" w:fill="DBE4F0"/>
          </w:tcPr>
          <w:p>
            <w:pPr>
              <w:pStyle w:val="TableParagraph"/>
              <w:rPr>
                <w:rFonts w:ascii="Times New Roman"/>
                <w:sz w:val="16"/>
              </w:rPr>
            </w:pPr>
          </w:p>
        </w:tc>
        <w:tc>
          <w:tcPr>
            <w:tcW w:w="1525" w:type="dxa"/>
            <w:tcBorders>
              <w:top w:val="nil"/>
              <w:bottom w:val="nil"/>
            </w:tcBorders>
            <w:shd w:val="clear" w:color="auto" w:fill="DBE4F0"/>
          </w:tcPr>
          <w:p>
            <w:pPr>
              <w:pStyle w:val="TableParagraph"/>
              <w:spacing w:line="225" w:lineRule="exact"/>
              <w:ind w:left="66"/>
              <w:rPr>
                <w:sz w:val="20"/>
              </w:rPr>
            </w:pPr>
            <w:r>
              <w:rPr>
                <w:sz w:val="20"/>
              </w:rPr>
              <w:t>Quechua/acadé</w:t>
            </w:r>
          </w:p>
        </w:tc>
      </w:tr>
      <w:tr>
        <w:trPr>
          <w:trHeight w:val="243" w:hRule="atLeast"/>
        </w:trPr>
        <w:tc>
          <w:tcPr>
            <w:tcW w:w="2038" w:type="dxa"/>
            <w:tcBorders>
              <w:top w:val="nil"/>
              <w:bottom w:val="nil"/>
            </w:tcBorders>
            <w:shd w:val="clear" w:color="auto" w:fill="DBE4F0"/>
          </w:tcPr>
          <w:p>
            <w:pPr>
              <w:pStyle w:val="TableParagraph"/>
              <w:rPr>
                <w:rFonts w:ascii="Times New Roman"/>
                <w:sz w:val="16"/>
              </w:rPr>
            </w:pPr>
          </w:p>
        </w:tc>
        <w:tc>
          <w:tcPr>
            <w:tcW w:w="1794" w:type="dxa"/>
            <w:tcBorders>
              <w:top w:val="nil"/>
              <w:bottom w:val="nil"/>
            </w:tcBorders>
            <w:shd w:val="clear" w:color="auto" w:fill="DBE4F0"/>
          </w:tcPr>
          <w:p>
            <w:pPr>
              <w:pStyle w:val="TableParagraph"/>
              <w:rPr>
                <w:rFonts w:ascii="Times New Roman"/>
                <w:sz w:val="16"/>
              </w:rPr>
            </w:pPr>
          </w:p>
        </w:tc>
        <w:tc>
          <w:tcPr>
            <w:tcW w:w="2051" w:type="dxa"/>
            <w:tcBorders>
              <w:top w:val="nil"/>
              <w:bottom w:val="nil"/>
            </w:tcBorders>
            <w:shd w:val="clear" w:color="auto" w:fill="DBE4F0"/>
          </w:tcPr>
          <w:p>
            <w:pPr>
              <w:pStyle w:val="TableParagraph"/>
              <w:rPr>
                <w:rFonts w:ascii="Times New Roman"/>
                <w:sz w:val="16"/>
              </w:rPr>
            </w:pPr>
          </w:p>
        </w:tc>
        <w:tc>
          <w:tcPr>
            <w:tcW w:w="1799" w:type="dxa"/>
            <w:tcBorders>
              <w:top w:val="nil"/>
              <w:bottom w:val="nil"/>
            </w:tcBorders>
            <w:shd w:val="clear" w:color="auto" w:fill="DBE4F0"/>
          </w:tcPr>
          <w:p>
            <w:pPr>
              <w:pStyle w:val="TableParagraph"/>
              <w:rPr>
                <w:rFonts w:ascii="Times New Roman"/>
                <w:sz w:val="16"/>
              </w:rPr>
            </w:pPr>
          </w:p>
        </w:tc>
        <w:tc>
          <w:tcPr>
            <w:tcW w:w="1525" w:type="dxa"/>
            <w:tcBorders>
              <w:top w:val="nil"/>
              <w:bottom w:val="nil"/>
            </w:tcBorders>
            <w:shd w:val="clear" w:color="auto" w:fill="DBE4F0"/>
          </w:tcPr>
          <w:p>
            <w:pPr>
              <w:pStyle w:val="TableParagraph"/>
              <w:spacing w:line="224" w:lineRule="exact"/>
              <w:ind w:left="66"/>
              <w:rPr>
                <w:sz w:val="20"/>
              </w:rPr>
            </w:pPr>
            <w:r>
              <w:rPr>
                <w:sz w:val="20"/>
              </w:rPr>
              <w:t>mica UNIBOL,</w:t>
            </w:r>
          </w:p>
        </w:tc>
      </w:tr>
      <w:tr>
        <w:trPr>
          <w:trHeight w:val="243" w:hRule="atLeast"/>
        </w:trPr>
        <w:tc>
          <w:tcPr>
            <w:tcW w:w="2038" w:type="dxa"/>
            <w:tcBorders>
              <w:top w:val="nil"/>
              <w:bottom w:val="nil"/>
            </w:tcBorders>
            <w:shd w:val="clear" w:color="auto" w:fill="DBE4F0"/>
          </w:tcPr>
          <w:p>
            <w:pPr>
              <w:pStyle w:val="TableParagraph"/>
              <w:rPr>
                <w:rFonts w:ascii="Times New Roman"/>
                <w:sz w:val="16"/>
              </w:rPr>
            </w:pPr>
          </w:p>
        </w:tc>
        <w:tc>
          <w:tcPr>
            <w:tcW w:w="1794" w:type="dxa"/>
            <w:tcBorders>
              <w:top w:val="nil"/>
              <w:bottom w:val="nil"/>
            </w:tcBorders>
            <w:shd w:val="clear" w:color="auto" w:fill="DBE4F0"/>
          </w:tcPr>
          <w:p>
            <w:pPr>
              <w:pStyle w:val="TableParagraph"/>
              <w:rPr>
                <w:rFonts w:ascii="Times New Roman"/>
                <w:sz w:val="16"/>
              </w:rPr>
            </w:pPr>
          </w:p>
        </w:tc>
        <w:tc>
          <w:tcPr>
            <w:tcW w:w="2051" w:type="dxa"/>
            <w:tcBorders>
              <w:top w:val="nil"/>
              <w:bottom w:val="nil"/>
            </w:tcBorders>
            <w:shd w:val="clear" w:color="auto" w:fill="DBE4F0"/>
          </w:tcPr>
          <w:p>
            <w:pPr>
              <w:pStyle w:val="TableParagraph"/>
              <w:rPr>
                <w:rFonts w:ascii="Times New Roman"/>
                <w:sz w:val="16"/>
              </w:rPr>
            </w:pPr>
          </w:p>
        </w:tc>
        <w:tc>
          <w:tcPr>
            <w:tcW w:w="1799" w:type="dxa"/>
            <w:tcBorders>
              <w:top w:val="nil"/>
              <w:bottom w:val="nil"/>
            </w:tcBorders>
            <w:shd w:val="clear" w:color="auto" w:fill="DBE4F0"/>
          </w:tcPr>
          <w:p>
            <w:pPr>
              <w:pStyle w:val="TableParagraph"/>
              <w:rPr>
                <w:rFonts w:ascii="Times New Roman"/>
                <w:sz w:val="16"/>
              </w:rPr>
            </w:pPr>
          </w:p>
        </w:tc>
        <w:tc>
          <w:tcPr>
            <w:tcW w:w="1525" w:type="dxa"/>
            <w:tcBorders>
              <w:top w:val="nil"/>
              <w:bottom w:val="nil"/>
            </w:tcBorders>
            <w:shd w:val="clear" w:color="auto" w:fill="DBE4F0"/>
          </w:tcPr>
          <w:p>
            <w:pPr>
              <w:pStyle w:val="TableParagraph"/>
              <w:spacing w:line="224" w:lineRule="exact"/>
              <w:ind w:left="66"/>
              <w:rPr>
                <w:sz w:val="20"/>
              </w:rPr>
            </w:pPr>
            <w:r>
              <w:rPr>
                <w:sz w:val="20"/>
              </w:rPr>
              <w:t>realizan</w:t>
            </w:r>
          </w:p>
        </w:tc>
      </w:tr>
      <w:tr>
        <w:trPr>
          <w:trHeight w:val="244" w:hRule="atLeast"/>
        </w:trPr>
        <w:tc>
          <w:tcPr>
            <w:tcW w:w="2038" w:type="dxa"/>
            <w:tcBorders>
              <w:top w:val="nil"/>
              <w:bottom w:val="nil"/>
            </w:tcBorders>
            <w:shd w:val="clear" w:color="auto" w:fill="DBE4F0"/>
          </w:tcPr>
          <w:p>
            <w:pPr>
              <w:pStyle w:val="TableParagraph"/>
              <w:rPr>
                <w:rFonts w:ascii="Times New Roman"/>
                <w:sz w:val="16"/>
              </w:rPr>
            </w:pPr>
          </w:p>
        </w:tc>
        <w:tc>
          <w:tcPr>
            <w:tcW w:w="1794" w:type="dxa"/>
            <w:tcBorders>
              <w:top w:val="nil"/>
              <w:bottom w:val="nil"/>
            </w:tcBorders>
            <w:shd w:val="clear" w:color="auto" w:fill="DBE4F0"/>
          </w:tcPr>
          <w:p>
            <w:pPr>
              <w:pStyle w:val="TableParagraph"/>
              <w:rPr>
                <w:rFonts w:ascii="Times New Roman"/>
                <w:sz w:val="16"/>
              </w:rPr>
            </w:pPr>
          </w:p>
        </w:tc>
        <w:tc>
          <w:tcPr>
            <w:tcW w:w="2051" w:type="dxa"/>
            <w:tcBorders>
              <w:top w:val="nil"/>
              <w:bottom w:val="nil"/>
            </w:tcBorders>
            <w:shd w:val="clear" w:color="auto" w:fill="DBE4F0"/>
          </w:tcPr>
          <w:p>
            <w:pPr>
              <w:pStyle w:val="TableParagraph"/>
              <w:rPr>
                <w:rFonts w:ascii="Times New Roman"/>
                <w:sz w:val="16"/>
              </w:rPr>
            </w:pPr>
          </w:p>
        </w:tc>
        <w:tc>
          <w:tcPr>
            <w:tcW w:w="1799" w:type="dxa"/>
            <w:tcBorders>
              <w:top w:val="nil"/>
              <w:bottom w:val="nil"/>
            </w:tcBorders>
            <w:shd w:val="clear" w:color="auto" w:fill="DBE4F0"/>
          </w:tcPr>
          <w:p>
            <w:pPr>
              <w:pStyle w:val="TableParagraph"/>
              <w:rPr>
                <w:rFonts w:ascii="Times New Roman"/>
                <w:sz w:val="16"/>
              </w:rPr>
            </w:pPr>
          </w:p>
        </w:tc>
        <w:tc>
          <w:tcPr>
            <w:tcW w:w="1525" w:type="dxa"/>
            <w:tcBorders>
              <w:top w:val="nil"/>
              <w:bottom w:val="nil"/>
            </w:tcBorders>
            <w:shd w:val="clear" w:color="auto" w:fill="DBE4F0"/>
          </w:tcPr>
          <w:p>
            <w:pPr>
              <w:pStyle w:val="TableParagraph"/>
              <w:spacing w:line="225" w:lineRule="exact"/>
              <w:ind w:left="66"/>
              <w:rPr>
                <w:sz w:val="20"/>
              </w:rPr>
            </w:pPr>
            <w:r>
              <w:rPr>
                <w:sz w:val="20"/>
              </w:rPr>
              <w:t>campaña y</w:t>
            </w:r>
          </w:p>
        </w:tc>
      </w:tr>
      <w:tr>
        <w:trPr>
          <w:trHeight w:val="227" w:hRule="atLeast"/>
        </w:trPr>
        <w:tc>
          <w:tcPr>
            <w:tcW w:w="2038" w:type="dxa"/>
            <w:tcBorders>
              <w:top w:val="nil"/>
            </w:tcBorders>
            <w:shd w:val="clear" w:color="auto" w:fill="DBE4F0"/>
          </w:tcPr>
          <w:p>
            <w:pPr>
              <w:pStyle w:val="TableParagraph"/>
              <w:rPr>
                <w:rFonts w:ascii="Times New Roman"/>
                <w:sz w:val="16"/>
              </w:rPr>
            </w:pPr>
          </w:p>
        </w:tc>
        <w:tc>
          <w:tcPr>
            <w:tcW w:w="1794" w:type="dxa"/>
            <w:tcBorders>
              <w:top w:val="nil"/>
            </w:tcBorders>
            <w:shd w:val="clear" w:color="auto" w:fill="DBE4F0"/>
          </w:tcPr>
          <w:p>
            <w:pPr>
              <w:pStyle w:val="TableParagraph"/>
              <w:rPr>
                <w:rFonts w:ascii="Times New Roman"/>
                <w:sz w:val="16"/>
              </w:rPr>
            </w:pPr>
          </w:p>
        </w:tc>
        <w:tc>
          <w:tcPr>
            <w:tcW w:w="2051" w:type="dxa"/>
            <w:tcBorders>
              <w:top w:val="nil"/>
            </w:tcBorders>
            <w:shd w:val="clear" w:color="auto" w:fill="DBE4F0"/>
          </w:tcPr>
          <w:p>
            <w:pPr>
              <w:pStyle w:val="TableParagraph"/>
              <w:rPr>
                <w:rFonts w:ascii="Times New Roman"/>
                <w:sz w:val="16"/>
              </w:rPr>
            </w:pPr>
          </w:p>
        </w:tc>
        <w:tc>
          <w:tcPr>
            <w:tcW w:w="1799" w:type="dxa"/>
            <w:tcBorders>
              <w:top w:val="nil"/>
            </w:tcBorders>
            <w:shd w:val="clear" w:color="auto" w:fill="DBE4F0"/>
          </w:tcPr>
          <w:p>
            <w:pPr>
              <w:pStyle w:val="TableParagraph"/>
              <w:rPr>
                <w:rFonts w:ascii="Times New Roman"/>
                <w:sz w:val="16"/>
              </w:rPr>
            </w:pPr>
          </w:p>
        </w:tc>
        <w:tc>
          <w:tcPr>
            <w:tcW w:w="1525" w:type="dxa"/>
            <w:tcBorders>
              <w:top w:val="nil"/>
            </w:tcBorders>
            <w:shd w:val="clear" w:color="auto" w:fill="DBE4F0"/>
          </w:tcPr>
          <w:p>
            <w:pPr>
              <w:pStyle w:val="TableParagraph"/>
              <w:spacing w:line="207" w:lineRule="exact"/>
              <w:ind w:left="66"/>
              <w:rPr>
                <w:sz w:val="20"/>
              </w:rPr>
            </w:pPr>
            <w:r>
              <w:rPr>
                <w:sz w:val="20"/>
              </w:rPr>
              <w:t>proceso</w:t>
            </w:r>
          </w:p>
        </w:tc>
      </w:tr>
    </w:tbl>
    <w:p>
      <w:pPr>
        <w:pStyle w:val="BodyText"/>
        <w:spacing w:line="259" w:lineRule="auto"/>
        <w:ind w:left="1082" w:right="847"/>
        <w:jc w:val="both"/>
      </w:pPr>
      <w:r>
        <w:rPr/>
        <w:t>Un desafío determinante para que la Yachayllajta UNIBOL Quechua pueda cumplir su misión de proveer profesionales de alta calidad y compromiso con el posicionamiento productivo de la Nación quechua y de la plurinacionalidad de los pueblos IOCs en los desafíos de la Agenda Patriótica , la revolución Productiva y la Soberanía Alimentaria, requiere una correspondencia similar en  exigencias  a tiempo de la admisión de aspirantes, precautelando a la vez que no  sea considerado un proceso</w:t>
      </w:r>
      <w:r>
        <w:rPr>
          <w:spacing w:val="-5"/>
        </w:rPr>
        <w:t> </w:t>
      </w:r>
      <w:r>
        <w:rPr/>
        <w:t>discriminatorio.</w:t>
      </w:r>
    </w:p>
    <w:p>
      <w:pPr>
        <w:spacing w:after="0" w:line="259" w:lineRule="auto"/>
        <w:jc w:val="both"/>
        <w:sectPr>
          <w:pgSz w:w="11910" w:h="16840"/>
          <w:pgMar w:header="0" w:footer="922" w:top="1320" w:bottom="1200" w:left="620" w:right="280"/>
        </w:sectPr>
      </w:pPr>
    </w:p>
    <w:p>
      <w:pPr>
        <w:pStyle w:val="BodyText"/>
        <w:spacing w:line="259" w:lineRule="auto" w:before="76"/>
        <w:ind w:left="1082" w:right="847"/>
        <w:jc w:val="both"/>
      </w:pPr>
      <w:r>
        <w:rPr/>
        <w:t>A la par de los procesos de priorización de las prioridades productivas y territoriales como de construcción de pactos y requerimientos del servicio de la UNIBOL, debe ser también una oportunidad de construir corresponsabilidad en la promoción, preparación y aporte de las familias, jóvenes y sus familias para prepararlos tanto  en cuanto a destrezas que la formación escolar debe darles como en la motivación identitaria y la responsabilidad de ser seleccionados. Este proceso  pre  propedéutico en sus mismas territorialidades y cotidianeidad, está asociado a una visita prospectiva al campus de Chimore para antes de su</w:t>
      </w:r>
      <w:r>
        <w:rPr>
          <w:spacing w:val="-12"/>
        </w:rPr>
        <w:t> </w:t>
      </w:r>
      <w:r>
        <w:rPr/>
        <w:t>decisión.</w:t>
      </w:r>
    </w:p>
    <w:p>
      <w:pPr>
        <w:pStyle w:val="BodyText"/>
        <w:spacing w:line="259" w:lineRule="auto" w:before="159"/>
        <w:ind w:left="1082" w:right="847"/>
        <w:jc w:val="both"/>
      </w:pPr>
      <w:r>
        <w:rPr/>
        <w:t>A su turno, la UNIBOL tiene diseñado ya el sistema de pre admisión y admisión como de ciclo propedéutico que ejecuta ya la  Universidad.  Este  proceso respaldado con medios de difusión y circuitos de promoción de personeros de la UNIBOL en articulación con las organizaciones de la nación quechua, deben  permitir que la población juvenil de las territorialidades de la Nación Quechua aspirante a la UNIBOL. Tenga información y participa orgánicamente en  procesos de preparación/pre admisión establecidos de forma que cupos de jóvenes equitativamente compuesto por mujeres-hombres/territorialidad, hayan superado el proceso AJLLAS y pueden continuar el proceso de inscripción establecido ben la UNIBOL.</w:t>
      </w:r>
    </w:p>
    <w:p>
      <w:pPr>
        <w:spacing w:before="158"/>
        <w:ind w:left="1082" w:right="0" w:firstLine="0"/>
        <w:jc w:val="both"/>
        <w:rPr>
          <w:rFonts w:ascii="Calibri"/>
          <w:b/>
          <w:sz w:val="20"/>
        </w:rPr>
      </w:pPr>
      <w:r>
        <w:rPr>
          <w:rFonts w:ascii="Calibri"/>
          <w:b/>
          <w:sz w:val="20"/>
        </w:rPr>
        <w:t>LINEA DE ACCION 13 : ESPACIOS DE INTERAPRENDIZAJE APLICADO</w:t>
      </w:r>
    </w:p>
    <w:p>
      <w:pPr>
        <w:pStyle w:val="BodyText"/>
        <w:spacing w:before="11"/>
        <w:rPr>
          <w:rFonts w:ascii="Calibri"/>
          <w:b/>
          <w:sz w:val="14"/>
        </w:r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3"/>
        <w:gridCol w:w="1803"/>
        <w:gridCol w:w="1786"/>
        <w:gridCol w:w="1786"/>
        <w:gridCol w:w="1805"/>
      </w:tblGrid>
      <w:tr>
        <w:trPr>
          <w:trHeight w:val="760" w:hRule="atLeast"/>
        </w:trPr>
        <w:tc>
          <w:tcPr>
            <w:tcW w:w="2033" w:type="dxa"/>
            <w:shd w:val="clear" w:color="auto" w:fill="4F81BC"/>
          </w:tcPr>
          <w:p>
            <w:pPr>
              <w:pStyle w:val="TableParagraph"/>
              <w:spacing w:before="1"/>
              <w:ind w:left="467"/>
              <w:rPr>
                <w:b/>
                <w:sz w:val="20"/>
              </w:rPr>
            </w:pPr>
            <w:r>
              <w:rPr>
                <w:b/>
                <w:color w:val="FFFFFF"/>
                <w:sz w:val="20"/>
              </w:rPr>
              <w:t>RESULTADOS</w:t>
            </w:r>
          </w:p>
        </w:tc>
        <w:tc>
          <w:tcPr>
            <w:tcW w:w="1803" w:type="dxa"/>
            <w:shd w:val="clear" w:color="auto" w:fill="4F81BC"/>
          </w:tcPr>
          <w:p>
            <w:pPr>
              <w:pStyle w:val="TableParagraph"/>
              <w:spacing w:line="278" w:lineRule="auto"/>
              <w:ind w:left="328" w:right="92" w:firstLine="91"/>
              <w:rPr>
                <w:b/>
                <w:sz w:val="20"/>
              </w:rPr>
            </w:pPr>
            <w:r>
              <w:rPr>
                <w:b/>
                <w:color w:val="FFFFFF"/>
                <w:sz w:val="20"/>
              </w:rPr>
              <w:t>INDICADOR </w:t>
            </w:r>
            <w:r>
              <w:rPr>
                <w:b/>
                <w:color w:val="FFFFFF"/>
                <w:w w:val="95"/>
                <w:sz w:val="20"/>
              </w:rPr>
              <w:t>ESTRATÉGICO</w:t>
            </w:r>
          </w:p>
        </w:tc>
        <w:tc>
          <w:tcPr>
            <w:tcW w:w="1786" w:type="dxa"/>
            <w:shd w:val="clear" w:color="auto" w:fill="4F81BC"/>
          </w:tcPr>
          <w:p>
            <w:pPr>
              <w:pStyle w:val="TableParagraph"/>
              <w:spacing w:before="1"/>
              <w:ind w:left="333"/>
              <w:rPr>
                <w:b/>
                <w:sz w:val="20"/>
              </w:rPr>
            </w:pPr>
            <w:r>
              <w:rPr>
                <w:b/>
                <w:color w:val="FFFFFF"/>
                <w:sz w:val="20"/>
              </w:rPr>
              <w:t>ACTIVIDADES</w:t>
            </w:r>
          </w:p>
        </w:tc>
        <w:tc>
          <w:tcPr>
            <w:tcW w:w="1786" w:type="dxa"/>
            <w:shd w:val="clear" w:color="auto" w:fill="4F81BC"/>
          </w:tcPr>
          <w:p>
            <w:pPr>
              <w:pStyle w:val="TableParagraph"/>
              <w:spacing w:before="1"/>
              <w:ind w:left="246"/>
              <w:rPr>
                <w:b/>
                <w:sz w:val="20"/>
              </w:rPr>
            </w:pPr>
            <w:r>
              <w:rPr>
                <w:b/>
                <w:color w:val="FFFFFF"/>
                <w:sz w:val="20"/>
              </w:rPr>
              <w:t>METODOLOGIA</w:t>
            </w:r>
          </w:p>
        </w:tc>
        <w:tc>
          <w:tcPr>
            <w:tcW w:w="1805" w:type="dxa"/>
            <w:shd w:val="clear" w:color="auto" w:fill="4F81BC"/>
          </w:tcPr>
          <w:p>
            <w:pPr>
              <w:pStyle w:val="TableParagraph"/>
              <w:spacing w:before="1"/>
              <w:ind w:left="323"/>
              <w:rPr>
                <w:b/>
                <w:sz w:val="20"/>
              </w:rPr>
            </w:pPr>
            <w:r>
              <w:rPr>
                <w:b/>
                <w:color w:val="FFFFFF"/>
                <w:sz w:val="20"/>
              </w:rPr>
              <w:t>INDICADORES</w:t>
            </w:r>
          </w:p>
        </w:tc>
      </w:tr>
      <w:tr>
        <w:trPr>
          <w:trHeight w:val="1475" w:hRule="atLeast"/>
        </w:trPr>
        <w:tc>
          <w:tcPr>
            <w:tcW w:w="2033" w:type="dxa"/>
            <w:vMerge w:val="restart"/>
            <w:shd w:val="clear" w:color="auto" w:fill="DDEBF7"/>
          </w:tcPr>
          <w:p>
            <w:pPr>
              <w:pStyle w:val="TableParagraph"/>
              <w:spacing w:before="1"/>
              <w:ind w:left="69" w:right="1"/>
              <w:rPr>
                <w:sz w:val="20"/>
              </w:rPr>
            </w:pPr>
            <w:r>
              <w:rPr>
                <w:sz w:val="20"/>
              </w:rPr>
              <w:t>13. En funcionamiento espacios académicos semipresenciales en 4 territorialidades estratégicas de la tecnología productiva de la Nación Quechua en diversos pisos ecológicos</w:t>
            </w:r>
          </w:p>
        </w:tc>
        <w:tc>
          <w:tcPr>
            <w:tcW w:w="1803" w:type="dxa"/>
            <w:vMerge w:val="restart"/>
            <w:shd w:val="clear" w:color="auto" w:fill="DDEBF7"/>
          </w:tcPr>
          <w:p>
            <w:pPr>
              <w:pStyle w:val="TableParagraph"/>
              <w:spacing w:before="1"/>
              <w:ind w:left="69" w:right="92"/>
              <w:rPr>
                <w:sz w:val="20"/>
              </w:rPr>
            </w:pPr>
            <w:r>
              <w:rPr>
                <w:sz w:val="20"/>
              </w:rPr>
              <w:t>xxx </w:t>
            </w:r>
            <w:r>
              <w:rPr>
                <w:w w:val="95"/>
                <w:sz w:val="20"/>
              </w:rPr>
              <w:t>productores/lideres </w:t>
            </w:r>
            <w:r>
              <w:rPr>
                <w:sz w:val="20"/>
              </w:rPr>
              <w:t>IOCs y xxx miembros de la comunidad académica concluyen 2 ciclos productivos en las 4 territorialidades</w:t>
            </w:r>
          </w:p>
        </w:tc>
        <w:tc>
          <w:tcPr>
            <w:tcW w:w="1786" w:type="dxa"/>
            <w:shd w:val="clear" w:color="auto" w:fill="DDEBF7"/>
          </w:tcPr>
          <w:p>
            <w:pPr>
              <w:pStyle w:val="TableParagraph"/>
              <w:spacing w:before="1"/>
              <w:ind w:left="69" w:right="490"/>
              <w:rPr>
                <w:sz w:val="20"/>
              </w:rPr>
            </w:pPr>
            <w:r>
              <w:rPr>
                <w:sz w:val="20"/>
              </w:rPr>
              <w:t>35. Definición orgánica de </w:t>
            </w:r>
            <w:r>
              <w:rPr>
                <w:spacing w:val="-5"/>
                <w:sz w:val="20"/>
              </w:rPr>
              <w:t>las </w:t>
            </w:r>
            <w:r>
              <w:rPr>
                <w:sz w:val="20"/>
              </w:rPr>
              <w:t>prioridades territoriales productivas</w:t>
            </w:r>
          </w:p>
          <w:p>
            <w:pPr>
              <w:pStyle w:val="TableParagraph"/>
              <w:spacing w:line="234" w:lineRule="exact"/>
              <w:ind w:left="69"/>
              <w:rPr>
                <w:sz w:val="20"/>
              </w:rPr>
            </w:pPr>
            <w:r>
              <w:rPr>
                <w:sz w:val="20"/>
              </w:rPr>
              <w:t>estratégicas</w:t>
            </w:r>
          </w:p>
        </w:tc>
        <w:tc>
          <w:tcPr>
            <w:tcW w:w="1786" w:type="dxa"/>
            <w:shd w:val="clear" w:color="auto" w:fill="DDEBF7"/>
          </w:tcPr>
          <w:p>
            <w:pPr>
              <w:pStyle w:val="TableParagraph"/>
              <w:spacing w:before="1"/>
              <w:ind w:left="69" w:right="105"/>
              <w:rPr>
                <w:sz w:val="20"/>
              </w:rPr>
            </w:pPr>
            <w:r>
              <w:rPr>
                <w:sz w:val="20"/>
              </w:rPr>
              <w:t>Eventos resolutivos c/ organizaciones de nación quechua para definición territorialidades</w:t>
            </w:r>
          </w:p>
          <w:p>
            <w:pPr>
              <w:pStyle w:val="TableParagraph"/>
              <w:spacing w:line="234" w:lineRule="exact"/>
              <w:ind w:left="69"/>
              <w:rPr>
                <w:sz w:val="20"/>
              </w:rPr>
            </w:pPr>
            <w:r>
              <w:rPr>
                <w:sz w:val="20"/>
              </w:rPr>
              <w:t>estratégicas</w:t>
            </w:r>
          </w:p>
        </w:tc>
        <w:tc>
          <w:tcPr>
            <w:tcW w:w="1805" w:type="dxa"/>
            <w:shd w:val="clear" w:color="auto" w:fill="DDEBF7"/>
          </w:tcPr>
          <w:p>
            <w:pPr>
              <w:pStyle w:val="TableParagraph"/>
              <w:spacing w:before="1"/>
              <w:ind w:left="69" w:right="64"/>
              <w:rPr>
                <w:sz w:val="20"/>
              </w:rPr>
            </w:pPr>
            <w:r>
              <w:rPr>
                <w:sz w:val="20"/>
              </w:rPr>
              <w:t>Documento resolutivo orgánico y convenio de corresponsabilidad gubernativa</w:t>
            </w:r>
            <w:r>
              <w:rPr>
                <w:spacing w:val="-14"/>
                <w:sz w:val="20"/>
              </w:rPr>
              <w:t> </w:t>
            </w:r>
            <w:r>
              <w:rPr>
                <w:sz w:val="20"/>
              </w:rPr>
              <w:t>firmado</w:t>
            </w:r>
          </w:p>
        </w:tc>
      </w:tr>
      <w:tr>
        <w:trPr>
          <w:trHeight w:val="1464" w:hRule="atLeast"/>
        </w:trPr>
        <w:tc>
          <w:tcPr>
            <w:tcW w:w="2033" w:type="dxa"/>
            <w:vMerge/>
            <w:tcBorders>
              <w:top w:val="nil"/>
            </w:tcBorders>
            <w:shd w:val="clear" w:color="auto" w:fill="DDEBF7"/>
          </w:tcPr>
          <w:p>
            <w:pPr>
              <w:rPr>
                <w:sz w:val="2"/>
                <w:szCs w:val="2"/>
              </w:rPr>
            </w:pPr>
          </w:p>
        </w:tc>
        <w:tc>
          <w:tcPr>
            <w:tcW w:w="1803" w:type="dxa"/>
            <w:vMerge/>
            <w:tcBorders>
              <w:top w:val="nil"/>
            </w:tcBorders>
            <w:shd w:val="clear" w:color="auto" w:fill="DDEBF7"/>
          </w:tcPr>
          <w:p>
            <w:pPr>
              <w:rPr>
                <w:sz w:val="2"/>
                <w:szCs w:val="2"/>
              </w:rPr>
            </w:pPr>
          </w:p>
        </w:tc>
        <w:tc>
          <w:tcPr>
            <w:tcW w:w="1786" w:type="dxa"/>
            <w:shd w:val="clear" w:color="auto" w:fill="DDEBF7"/>
          </w:tcPr>
          <w:p>
            <w:pPr>
              <w:pStyle w:val="TableParagraph"/>
              <w:ind w:left="69" w:right="321"/>
              <w:rPr>
                <w:sz w:val="20"/>
              </w:rPr>
            </w:pPr>
            <w:r>
              <w:rPr>
                <w:sz w:val="20"/>
              </w:rPr>
              <w:t>36. Ejecución de ciclos anuales de acciones de interaprendizaje semipresencial</w:t>
            </w:r>
          </w:p>
        </w:tc>
        <w:tc>
          <w:tcPr>
            <w:tcW w:w="1786" w:type="dxa"/>
            <w:shd w:val="clear" w:color="auto" w:fill="DDEBF7"/>
          </w:tcPr>
          <w:p>
            <w:pPr>
              <w:pStyle w:val="TableParagraph"/>
              <w:ind w:left="69"/>
              <w:rPr>
                <w:sz w:val="20"/>
              </w:rPr>
            </w:pPr>
            <w:r>
              <w:rPr>
                <w:sz w:val="20"/>
              </w:rPr>
              <w:t>Convocatoria, constitución, presencia territorial de equipos docente/estudiantil</w:t>
            </w:r>
          </w:p>
          <w:p>
            <w:pPr>
              <w:pStyle w:val="TableParagraph"/>
              <w:spacing w:line="225" w:lineRule="exact"/>
              <w:ind w:left="69"/>
              <w:rPr>
                <w:sz w:val="20"/>
              </w:rPr>
            </w:pPr>
            <w:r>
              <w:rPr>
                <w:sz w:val="20"/>
              </w:rPr>
              <w:t>por territorialidad</w:t>
            </w:r>
          </w:p>
        </w:tc>
        <w:tc>
          <w:tcPr>
            <w:tcW w:w="1805" w:type="dxa"/>
            <w:shd w:val="clear" w:color="auto" w:fill="DDEBF7"/>
          </w:tcPr>
          <w:p>
            <w:pPr>
              <w:pStyle w:val="TableParagraph"/>
              <w:ind w:left="69" w:right="226"/>
              <w:rPr>
                <w:sz w:val="20"/>
              </w:rPr>
            </w:pPr>
            <w:r>
              <w:rPr>
                <w:sz w:val="20"/>
              </w:rPr>
              <w:t>Informes de interaprendizaje realizado por ciclo anual</w:t>
            </w:r>
          </w:p>
        </w:tc>
      </w:tr>
      <w:tr>
        <w:trPr>
          <w:trHeight w:val="1953" w:hRule="atLeast"/>
        </w:trPr>
        <w:tc>
          <w:tcPr>
            <w:tcW w:w="2033" w:type="dxa"/>
            <w:vMerge/>
            <w:tcBorders>
              <w:top w:val="nil"/>
            </w:tcBorders>
            <w:shd w:val="clear" w:color="auto" w:fill="DDEBF7"/>
          </w:tcPr>
          <w:p>
            <w:pPr>
              <w:rPr>
                <w:sz w:val="2"/>
                <w:szCs w:val="2"/>
              </w:rPr>
            </w:pPr>
          </w:p>
        </w:tc>
        <w:tc>
          <w:tcPr>
            <w:tcW w:w="1803" w:type="dxa"/>
            <w:vMerge/>
            <w:tcBorders>
              <w:top w:val="nil"/>
            </w:tcBorders>
            <w:shd w:val="clear" w:color="auto" w:fill="DDEBF7"/>
          </w:tcPr>
          <w:p>
            <w:pPr>
              <w:rPr>
                <w:sz w:val="2"/>
                <w:szCs w:val="2"/>
              </w:rPr>
            </w:pPr>
          </w:p>
        </w:tc>
        <w:tc>
          <w:tcPr>
            <w:tcW w:w="1786" w:type="dxa"/>
            <w:shd w:val="clear" w:color="auto" w:fill="DDEBF7"/>
          </w:tcPr>
          <w:p>
            <w:pPr>
              <w:pStyle w:val="TableParagraph"/>
              <w:ind w:left="69" w:right="102"/>
              <w:rPr>
                <w:sz w:val="20"/>
              </w:rPr>
            </w:pPr>
            <w:r>
              <w:rPr>
                <w:sz w:val="20"/>
              </w:rPr>
              <w:t>37.Realizacion de Programas especiales de Diplomados interculturales para Organizaciones IOCs quechuas y</w:t>
            </w:r>
          </w:p>
          <w:p>
            <w:pPr>
              <w:pStyle w:val="TableParagraph"/>
              <w:spacing w:line="225" w:lineRule="exact"/>
              <w:ind w:left="69"/>
              <w:rPr>
                <w:sz w:val="20"/>
              </w:rPr>
            </w:pPr>
            <w:r>
              <w:rPr>
                <w:sz w:val="20"/>
              </w:rPr>
              <w:t>plurinacionales</w:t>
            </w:r>
          </w:p>
        </w:tc>
        <w:tc>
          <w:tcPr>
            <w:tcW w:w="1786" w:type="dxa"/>
            <w:shd w:val="clear" w:color="auto" w:fill="DDEBF7"/>
          </w:tcPr>
          <w:p>
            <w:pPr>
              <w:pStyle w:val="TableParagraph"/>
              <w:ind w:left="69" w:right="110"/>
              <w:rPr>
                <w:sz w:val="20"/>
              </w:rPr>
            </w:pPr>
            <w:r>
              <w:rPr>
                <w:sz w:val="20"/>
              </w:rPr>
              <w:t>Concertación </w:t>
            </w:r>
            <w:r>
              <w:rPr>
                <w:w w:val="95"/>
                <w:sz w:val="20"/>
              </w:rPr>
              <w:t>temático/operativa </w:t>
            </w:r>
            <w:r>
              <w:rPr>
                <w:sz w:val="20"/>
              </w:rPr>
              <w:t>con Organizaciones de la Nación Quechua e implementación semipresencial</w:t>
            </w:r>
          </w:p>
        </w:tc>
        <w:tc>
          <w:tcPr>
            <w:tcW w:w="1805" w:type="dxa"/>
            <w:shd w:val="clear" w:color="auto" w:fill="DDEBF7"/>
          </w:tcPr>
          <w:p>
            <w:pPr>
              <w:pStyle w:val="TableParagraph"/>
              <w:rPr>
                <w:b/>
                <w:sz w:val="20"/>
              </w:rPr>
            </w:pPr>
          </w:p>
          <w:p>
            <w:pPr>
              <w:pStyle w:val="TableParagraph"/>
              <w:rPr>
                <w:b/>
                <w:sz w:val="20"/>
              </w:rPr>
            </w:pPr>
          </w:p>
          <w:p>
            <w:pPr>
              <w:pStyle w:val="TableParagraph"/>
              <w:ind w:left="69" w:right="140"/>
              <w:rPr>
                <w:sz w:val="20"/>
              </w:rPr>
            </w:pPr>
            <w:r>
              <w:rPr>
                <w:sz w:val="20"/>
              </w:rPr>
              <w:t>Numero de Diplomantes IOCs p/territorialidad en Ciclo anual</w:t>
            </w:r>
          </w:p>
        </w:tc>
      </w:tr>
      <w:tr>
        <w:trPr>
          <w:trHeight w:val="1466" w:hRule="atLeast"/>
        </w:trPr>
        <w:tc>
          <w:tcPr>
            <w:tcW w:w="2033" w:type="dxa"/>
            <w:vMerge/>
            <w:tcBorders>
              <w:top w:val="nil"/>
            </w:tcBorders>
            <w:shd w:val="clear" w:color="auto" w:fill="DDEBF7"/>
          </w:tcPr>
          <w:p>
            <w:pPr>
              <w:rPr>
                <w:sz w:val="2"/>
                <w:szCs w:val="2"/>
              </w:rPr>
            </w:pPr>
          </w:p>
        </w:tc>
        <w:tc>
          <w:tcPr>
            <w:tcW w:w="1803" w:type="dxa"/>
            <w:vMerge/>
            <w:tcBorders>
              <w:top w:val="nil"/>
            </w:tcBorders>
            <w:shd w:val="clear" w:color="auto" w:fill="DDEBF7"/>
          </w:tcPr>
          <w:p>
            <w:pPr>
              <w:rPr>
                <w:sz w:val="2"/>
                <w:szCs w:val="2"/>
              </w:rPr>
            </w:pPr>
          </w:p>
        </w:tc>
        <w:tc>
          <w:tcPr>
            <w:tcW w:w="1786" w:type="dxa"/>
            <w:shd w:val="clear" w:color="auto" w:fill="DDEBF7"/>
          </w:tcPr>
          <w:p>
            <w:pPr>
              <w:pStyle w:val="TableParagraph"/>
              <w:ind w:left="69" w:right="150"/>
              <w:rPr>
                <w:sz w:val="20"/>
              </w:rPr>
            </w:pPr>
            <w:r>
              <w:rPr>
                <w:sz w:val="20"/>
              </w:rPr>
              <w:t>38. Presentación y adopción de aportes tecnológicos en las territorialidades</w:t>
            </w:r>
          </w:p>
          <w:p>
            <w:pPr>
              <w:pStyle w:val="TableParagraph"/>
              <w:spacing w:line="225" w:lineRule="exact"/>
              <w:ind w:left="69"/>
              <w:rPr>
                <w:sz w:val="20"/>
              </w:rPr>
            </w:pPr>
            <w:r>
              <w:rPr>
                <w:sz w:val="20"/>
              </w:rPr>
              <w:t>elegidas.</w:t>
            </w:r>
          </w:p>
        </w:tc>
        <w:tc>
          <w:tcPr>
            <w:tcW w:w="1786" w:type="dxa"/>
            <w:shd w:val="clear" w:color="auto" w:fill="DDEBF7"/>
          </w:tcPr>
          <w:p>
            <w:pPr>
              <w:pStyle w:val="TableParagraph"/>
              <w:ind w:left="69"/>
              <w:rPr>
                <w:sz w:val="20"/>
              </w:rPr>
            </w:pPr>
            <w:r>
              <w:rPr>
                <w:sz w:val="20"/>
              </w:rPr>
              <w:t>Evaluación exsitu in situ de aportes tecnológicos por productores y sus organizaciones</w:t>
            </w:r>
          </w:p>
        </w:tc>
        <w:tc>
          <w:tcPr>
            <w:tcW w:w="1805" w:type="dxa"/>
            <w:shd w:val="clear" w:color="auto" w:fill="DDEBF7"/>
          </w:tcPr>
          <w:p>
            <w:pPr>
              <w:pStyle w:val="TableParagraph"/>
              <w:ind w:left="69"/>
              <w:rPr>
                <w:sz w:val="20"/>
              </w:rPr>
            </w:pPr>
            <w:r>
              <w:rPr>
                <w:sz w:val="20"/>
              </w:rPr>
              <w:t>por lo menos 2 tecnologías por </w:t>
            </w:r>
            <w:r>
              <w:rPr>
                <w:w w:val="95"/>
                <w:sz w:val="20"/>
              </w:rPr>
              <w:t>territorialidad/rubro </w:t>
            </w:r>
            <w:r>
              <w:rPr>
                <w:sz w:val="20"/>
              </w:rPr>
              <w:t>adoptados</w:t>
            </w:r>
          </w:p>
        </w:tc>
      </w:tr>
    </w:tbl>
    <w:p>
      <w:pPr>
        <w:spacing w:after="0"/>
        <w:rPr>
          <w:sz w:val="20"/>
        </w:rPr>
        <w:sectPr>
          <w:pgSz w:w="11910" w:h="16840"/>
          <w:pgMar w:header="0" w:footer="922" w:top="1320" w:bottom="1200" w:left="620" w:right="280"/>
        </w:sectPr>
      </w:pPr>
    </w:p>
    <w:p>
      <w:pPr>
        <w:pStyle w:val="BodyText"/>
        <w:spacing w:line="276" w:lineRule="auto" w:before="76"/>
        <w:ind w:left="1082" w:right="847"/>
        <w:jc w:val="both"/>
      </w:pPr>
      <w:r>
        <w:rPr/>
        <w:t>Del conjunto de los procesos de priorización de territorialidades, entidades gubernativas, organizaciones IOCs quechuas, complejos, prioridades productivas y necesidad académica y prioridades de estado, debe permitir seleccionar ciertos contextos territoriales donde hayan condiciones de continuidad, facilidades ye impacto ampliado en los cuales se pueda ir constituyendo y poner en  funcionamiento espacios académicos semipresenciales en 4 territorialidades estratégicas de la tecnología productiva de la Nación Quechua en diversos pisos ecológicos, espacios en los cuales productores/lideres IOCs y miembros de la comunidad académica manera conjunta avancen en la constitución de núcleos desconcentrados de trabajo académico a lo largo de por lo menos dos 2 ciclos productivos bianuales en las 4 territorialidades del ámbito quechua</w:t>
      </w:r>
      <w:r>
        <w:rPr>
          <w:spacing w:val="8"/>
        </w:rPr>
        <w:t> </w:t>
      </w:r>
      <w:r>
        <w:rPr/>
        <w:t>.</w:t>
      </w:r>
    </w:p>
    <w:p>
      <w:pPr>
        <w:pStyle w:val="BodyText"/>
        <w:spacing w:line="276" w:lineRule="auto" w:before="200"/>
        <w:ind w:left="1082" w:right="844"/>
        <w:jc w:val="both"/>
      </w:pPr>
      <w:r>
        <w:rPr/>
        <w:t>De entre Los espacios establecidos en las otras dimensiones para  las priorizaciones, serán donde se realice la definición orgánica de las prioridades territoriales productivas estratégicas , preferencialmente las instancias orgánicas y sus eventos resolutivos c/ organizaciones de nación quechua para definición territorialidades estratégicas,. Una variable de esta definición serán las facilidades  de albergue,  reunión y practica que   puedan darse   en un estándar   a definirse  que supere condiciones precarias que afecten la buena ejecución del trabajo, salvo que el objeto del trabajo no dependa de ello sino su valor intrínseco sea mayor que la disponibilidad de dichas condiciones. En todo caso, lo logrado será objeto de convenios y resoluciones vinculantes con las contrapartes</w:t>
      </w:r>
      <w:r>
        <w:rPr>
          <w:spacing w:val="-15"/>
        </w:rPr>
        <w:t> </w:t>
      </w:r>
      <w:r>
        <w:rPr/>
        <w:t>auspiciantes.</w:t>
      </w:r>
    </w:p>
    <w:p>
      <w:pPr>
        <w:pStyle w:val="BodyText"/>
        <w:spacing w:line="276" w:lineRule="auto" w:before="202"/>
        <w:ind w:left="1082" w:right="853"/>
        <w:jc w:val="both"/>
      </w:pPr>
      <w:r>
        <w:rPr/>
        <w:t>Como parte de la formación académica, los docentes en coordinación con las organizaciones locales programaran su trabajo de campo correspondiente en ciclos anuales de acciones de interaprendizaje semipresencial en el que se combinen misiones de campo para compartir con productores como contrapartes, a partir de convocatorias internas posteriores a  la definición de   territorialidades previamente ya seleccionadas para cada año. Además de los fines académicos señalados en la primera dimensión, en esta se buscara que se desarrolle  un proceso empático  entre la población local y los actores académicos, a partir de experiencias de  dialogo de saberes referidos a l objeto o tema</w:t>
      </w:r>
      <w:r>
        <w:rPr>
          <w:spacing w:val="-6"/>
        </w:rPr>
        <w:t> </w:t>
      </w:r>
      <w:r>
        <w:rPr/>
        <w:t>tratado.</w:t>
      </w:r>
    </w:p>
    <w:p>
      <w:pPr>
        <w:pStyle w:val="BodyText"/>
        <w:spacing w:line="276" w:lineRule="auto" w:before="201"/>
        <w:ind w:left="1082" w:right="846"/>
        <w:jc w:val="both"/>
      </w:pPr>
      <w:r>
        <w:rPr/>
        <w:t>Un proceso capital para el desarrollo del conjunto de las  actividades  territoriales que se ejecuten en el PEI, será el involucramiento de miembros directivos de las organizaciones IOCs tanto sociales como económicas, es su participación en la Realización de Programas especiales de Diplomados interculturales para Organizaciones IOCs quechuas y plurinacional , a partir de la concertación temático/operativa con Organizaciones de la Nación Quechua e implementación semipresencial de estos Diplomados basado en la formación de multiplicadores territoriales que combine breves tiempos de sesiones y encuentro intensivos en centros territoriales o en el centro de la UNIBOL. Con su trabajo de multiplicación o de incidencia en otros ámbitos decisionales o de generación de hegemonía, donde se posicione la economía comunitaria y los sistemas y opciones productivas que el ámbito quechua viene desarrollando</w:t>
      </w:r>
      <w:r>
        <w:rPr>
          <w:spacing w:val="32"/>
        </w:rPr>
        <w:t> </w:t>
      </w:r>
      <w:r>
        <w:rPr/>
        <w:t>o ha desarrollado históricamente. Los</w:t>
      </w:r>
    </w:p>
    <w:p>
      <w:pPr>
        <w:spacing w:after="0" w:line="276" w:lineRule="auto"/>
        <w:jc w:val="both"/>
        <w:sectPr>
          <w:pgSz w:w="11910" w:h="16840"/>
          <w:pgMar w:header="0" w:footer="922" w:top="1320" w:bottom="1200" w:left="620" w:right="280"/>
        </w:sectPr>
      </w:pPr>
    </w:p>
    <w:p>
      <w:pPr>
        <w:pStyle w:val="BodyText"/>
        <w:spacing w:line="276" w:lineRule="auto" w:before="76"/>
        <w:ind w:left="1082" w:right="850"/>
        <w:jc w:val="both"/>
      </w:pPr>
      <w:r>
        <w:rPr/>
        <w:t>mencionados diplomados deberán estar orientados a fortalecer la capacidad de planeamiento indígena de la economía y producción, su incidencia e interacción con el estado y la economía plural y particularmente en el desarrollo de tecnología productiva y cultura productiva de los pueblos, como apropiación de tecnología de punta a los requerimientos productivos e identitarios vinculados.</w:t>
      </w:r>
    </w:p>
    <w:p>
      <w:pPr>
        <w:pStyle w:val="BodyText"/>
        <w:spacing w:line="276" w:lineRule="auto" w:before="201"/>
        <w:ind w:left="1082" w:right="855"/>
        <w:jc w:val="both"/>
      </w:pPr>
      <w:r>
        <w:rPr/>
        <w:t>Ambos espacios: Diplomados y practicas interculturales, serán ámbitos de diseminación de las tecnologías  y aportes productivos de la universidad,  para que la población que participe en el desarrollo de soluciones o líderes indígenas participantes ponderen y valoren críticamente los mismos, validando así exsitu e in situ los dichos aportes tecnológicos por productores y sus organizaciones, particularmente en lo relativo a tecnologías por territorialidad/rubro adoptados que signifiquen alto impacto en el desarrollo productivo. El punto de vista de estos actores, será de alto impacto en la legitimación pública del aporte de la Universidad  y repercutirá en el incremento de postulantes a formar parte de la comunidad educativa.</w:t>
      </w:r>
    </w:p>
    <w:p>
      <w:pPr>
        <w:spacing w:before="202"/>
        <w:ind w:left="1802" w:right="0" w:firstLine="0"/>
        <w:jc w:val="left"/>
        <w:rPr>
          <w:rFonts w:ascii="Calibri"/>
          <w:b/>
          <w:sz w:val="20"/>
        </w:rPr>
      </w:pPr>
      <w:r>
        <w:rPr>
          <w:rFonts w:ascii="Calibri"/>
          <w:b/>
          <w:sz w:val="20"/>
        </w:rPr>
        <w:t>LINEA DE ACCION 14: VIVENCIA DE LA IDENTIDAD CULTURAL</w:t>
      </w:r>
    </w:p>
    <w:p>
      <w:pPr>
        <w:pStyle w:val="BodyText"/>
        <w:spacing w:before="8"/>
        <w:rPr>
          <w:rFonts w:ascii="Calibri"/>
          <w:b/>
          <w:sz w:val="14"/>
        </w:r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1868"/>
        <w:gridCol w:w="1849"/>
        <w:gridCol w:w="1849"/>
        <w:gridCol w:w="1551"/>
      </w:tblGrid>
      <w:tr>
        <w:trPr>
          <w:trHeight w:val="762" w:hRule="atLeast"/>
        </w:trPr>
        <w:tc>
          <w:tcPr>
            <w:tcW w:w="2098" w:type="dxa"/>
            <w:shd w:val="clear" w:color="auto" w:fill="4F81BC"/>
          </w:tcPr>
          <w:p>
            <w:pPr>
              <w:pStyle w:val="TableParagraph"/>
              <w:spacing w:before="1"/>
              <w:ind w:left="498"/>
              <w:rPr>
                <w:b/>
                <w:sz w:val="20"/>
              </w:rPr>
            </w:pPr>
            <w:r>
              <w:rPr>
                <w:b/>
                <w:color w:val="FFFFFF"/>
                <w:sz w:val="20"/>
              </w:rPr>
              <w:t>RESULTADOS</w:t>
            </w:r>
          </w:p>
        </w:tc>
        <w:tc>
          <w:tcPr>
            <w:tcW w:w="1868" w:type="dxa"/>
            <w:shd w:val="clear" w:color="auto" w:fill="4F81BC"/>
          </w:tcPr>
          <w:p>
            <w:pPr>
              <w:pStyle w:val="TableParagraph"/>
              <w:spacing w:line="278" w:lineRule="auto"/>
              <w:ind w:left="359" w:right="46" w:firstLine="91"/>
              <w:rPr>
                <w:b/>
                <w:sz w:val="20"/>
              </w:rPr>
            </w:pPr>
            <w:r>
              <w:rPr>
                <w:b/>
                <w:color w:val="FFFFFF"/>
                <w:sz w:val="20"/>
              </w:rPr>
              <w:t>INDICADOR </w:t>
            </w:r>
            <w:r>
              <w:rPr>
                <w:b/>
                <w:color w:val="FFFFFF"/>
                <w:w w:val="95"/>
                <w:sz w:val="20"/>
              </w:rPr>
              <w:t>ESTRATÉGICO</w:t>
            </w:r>
          </w:p>
        </w:tc>
        <w:tc>
          <w:tcPr>
            <w:tcW w:w="1849" w:type="dxa"/>
            <w:shd w:val="clear" w:color="auto" w:fill="4F81BC"/>
          </w:tcPr>
          <w:p>
            <w:pPr>
              <w:pStyle w:val="TableParagraph"/>
              <w:spacing w:before="1"/>
              <w:ind w:left="363"/>
              <w:rPr>
                <w:b/>
                <w:sz w:val="20"/>
              </w:rPr>
            </w:pPr>
            <w:r>
              <w:rPr>
                <w:b/>
                <w:color w:val="FFFFFF"/>
                <w:sz w:val="20"/>
              </w:rPr>
              <w:t>ACTIVIDADES</w:t>
            </w:r>
          </w:p>
        </w:tc>
        <w:tc>
          <w:tcPr>
            <w:tcW w:w="1849" w:type="dxa"/>
            <w:shd w:val="clear" w:color="auto" w:fill="4F81BC"/>
          </w:tcPr>
          <w:p>
            <w:pPr>
              <w:pStyle w:val="TableParagraph"/>
              <w:spacing w:before="1"/>
              <w:ind w:left="276"/>
              <w:rPr>
                <w:b/>
                <w:sz w:val="20"/>
              </w:rPr>
            </w:pPr>
            <w:r>
              <w:rPr>
                <w:b/>
                <w:color w:val="FFFFFF"/>
                <w:sz w:val="20"/>
              </w:rPr>
              <w:t>METODOLOGIA</w:t>
            </w:r>
          </w:p>
        </w:tc>
        <w:tc>
          <w:tcPr>
            <w:tcW w:w="1551" w:type="dxa"/>
            <w:shd w:val="clear" w:color="auto" w:fill="4F81BC"/>
          </w:tcPr>
          <w:p>
            <w:pPr>
              <w:pStyle w:val="TableParagraph"/>
              <w:spacing w:before="1"/>
              <w:ind w:left="194"/>
              <w:rPr>
                <w:b/>
                <w:sz w:val="20"/>
              </w:rPr>
            </w:pPr>
            <w:r>
              <w:rPr>
                <w:b/>
                <w:color w:val="FFFFFF"/>
                <w:sz w:val="20"/>
              </w:rPr>
              <w:t>INDICADORES</w:t>
            </w:r>
          </w:p>
        </w:tc>
      </w:tr>
      <w:tr>
        <w:trPr>
          <w:trHeight w:val="2196" w:hRule="atLeast"/>
        </w:trPr>
        <w:tc>
          <w:tcPr>
            <w:tcW w:w="2098" w:type="dxa"/>
            <w:vMerge w:val="restart"/>
            <w:shd w:val="clear" w:color="auto" w:fill="DDEBF7"/>
          </w:tcPr>
          <w:p>
            <w:pPr>
              <w:pStyle w:val="TableParagraph"/>
              <w:ind w:left="69" w:right="53"/>
              <w:rPr>
                <w:sz w:val="20"/>
              </w:rPr>
            </w:pPr>
            <w:r>
              <w:rPr>
                <w:sz w:val="20"/>
              </w:rPr>
              <w:t>14. Los diversos actores de la comunidad educativa del Yachayllajta UNIBOL , practican la cultura quechua en su integralidad e interculturalidad (idioma, ritualidad, tecnologías) en el conjunto del proceso académico en régimen combinado: internado y territorial.</w:t>
            </w:r>
          </w:p>
        </w:tc>
        <w:tc>
          <w:tcPr>
            <w:tcW w:w="1868" w:type="dxa"/>
            <w:vMerge w:val="restart"/>
            <w:shd w:val="clear" w:color="auto" w:fill="DDEBF7"/>
          </w:tcPr>
          <w:p>
            <w:pPr>
              <w:pStyle w:val="TableParagraph"/>
              <w:ind w:left="69" w:right="46"/>
              <w:rPr>
                <w:sz w:val="20"/>
              </w:rPr>
            </w:pPr>
            <w:r>
              <w:rPr>
                <w:sz w:val="20"/>
              </w:rPr>
              <w:t>El 70 % de la producción intelectual de la UNIBOL está realizado en idioma quechua y el 100 % de los temas de titularización, realizados en interacción con actores locales de la territorialidad quechua al 2do trimestre del 4to año</w:t>
            </w:r>
          </w:p>
        </w:tc>
        <w:tc>
          <w:tcPr>
            <w:tcW w:w="1849" w:type="dxa"/>
            <w:shd w:val="clear" w:color="auto" w:fill="DDEBF7"/>
          </w:tcPr>
          <w:p>
            <w:pPr>
              <w:pStyle w:val="TableParagraph"/>
              <w:ind w:left="68" w:right="130"/>
              <w:rPr>
                <w:sz w:val="20"/>
              </w:rPr>
            </w:pPr>
            <w:r>
              <w:rPr>
                <w:sz w:val="20"/>
              </w:rPr>
              <w:t>39. Planificación e implementación de las prácticas culturales quechuas para régimen internado cotidiano y académico.</w:t>
            </w:r>
          </w:p>
        </w:tc>
        <w:tc>
          <w:tcPr>
            <w:tcW w:w="1849" w:type="dxa"/>
            <w:shd w:val="clear" w:color="auto" w:fill="DDEBF7"/>
          </w:tcPr>
          <w:p>
            <w:pPr>
              <w:pStyle w:val="TableParagraph"/>
              <w:ind w:left="68" w:right="86"/>
              <w:rPr>
                <w:sz w:val="20"/>
              </w:rPr>
            </w:pPr>
            <w:r>
              <w:rPr>
                <w:sz w:val="20"/>
              </w:rPr>
              <w:t>Propuesta de sabios y convalidación en Juntas según atribuciones , Ejecución según instancias académicas y administrativas</w:t>
            </w:r>
          </w:p>
          <w:p>
            <w:pPr>
              <w:pStyle w:val="TableParagraph"/>
              <w:spacing w:line="223" w:lineRule="exact"/>
              <w:ind w:left="68"/>
              <w:rPr>
                <w:sz w:val="20"/>
              </w:rPr>
            </w:pPr>
            <w:r>
              <w:rPr>
                <w:sz w:val="20"/>
              </w:rPr>
              <w:t>respectivamente</w:t>
            </w:r>
          </w:p>
        </w:tc>
        <w:tc>
          <w:tcPr>
            <w:tcW w:w="1551" w:type="dxa"/>
            <w:shd w:val="clear" w:color="auto" w:fill="DDEBF7"/>
          </w:tcPr>
          <w:p>
            <w:pPr>
              <w:pStyle w:val="TableParagraph"/>
              <w:ind w:left="67" w:right="409"/>
              <w:rPr>
                <w:sz w:val="20"/>
              </w:rPr>
            </w:pPr>
            <w:r>
              <w:rPr>
                <w:sz w:val="20"/>
              </w:rPr>
              <w:t>Verificación directa / indirecta por Junta Comunitaria</w:t>
            </w:r>
          </w:p>
        </w:tc>
      </w:tr>
      <w:tr>
        <w:trPr>
          <w:trHeight w:val="2198" w:hRule="atLeast"/>
        </w:trPr>
        <w:tc>
          <w:tcPr>
            <w:tcW w:w="2098" w:type="dxa"/>
            <w:vMerge/>
            <w:tcBorders>
              <w:top w:val="nil"/>
            </w:tcBorders>
            <w:shd w:val="clear" w:color="auto" w:fill="DDEBF7"/>
          </w:tcPr>
          <w:p>
            <w:pPr>
              <w:rPr>
                <w:sz w:val="2"/>
                <w:szCs w:val="2"/>
              </w:rPr>
            </w:pPr>
          </w:p>
        </w:tc>
        <w:tc>
          <w:tcPr>
            <w:tcW w:w="1868" w:type="dxa"/>
            <w:vMerge/>
            <w:tcBorders>
              <w:top w:val="nil"/>
            </w:tcBorders>
            <w:shd w:val="clear" w:color="auto" w:fill="DDEBF7"/>
          </w:tcPr>
          <w:p>
            <w:pPr>
              <w:rPr>
                <w:sz w:val="2"/>
                <w:szCs w:val="2"/>
              </w:rPr>
            </w:pPr>
          </w:p>
        </w:tc>
        <w:tc>
          <w:tcPr>
            <w:tcW w:w="1849" w:type="dxa"/>
            <w:shd w:val="clear" w:color="auto" w:fill="DDEBF7"/>
          </w:tcPr>
          <w:p>
            <w:pPr>
              <w:pStyle w:val="TableParagraph"/>
              <w:ind w:left="68" w:right="65"/>
              <w:rPr>
                <w:sz w:val="20"/>
              </w:rPr>
            </w:pPr>
            <w:r>
              <w:rPr>
                <w:sz w:val="20"/>
              </w:rPr>
              <w:t>40. Planificación y adaptación de las acciones de campo a los usos y costumbres de las territorialidades atendidas.</w:t>
            </w:r>
          </w:p>
        </w:tc>
        <w:tc>
          <w:tcPr>
            <w:tcW w:w="1849" w:type="dxa"/>
            <w:shd w:val="clear" w:color="auto" w:fill="DDEBF7"/>
          </w:tcPr>
          <w:p>
            <w:pPr>
              <w:pStyle w:val="TableParagraph"/>
              <w:ind w:left="68" w:right="118"/>
              <w:rPr>
                <w:sz w:val="20"/>
              </w:rPr>
            </w:pPr>
            <w:r>
              <w:rPr>
                <w:sz w:val="20"/>
              </w:rPr>
              <w:t>Propuesta de sabios y organizaciones territorial y Aplicación transversal de calendario </w:t>
            </w:r>
            <w:r>
              <w:rPr>
                <w:w w:val="95"/>
                <w:sz w:val="20"/>
              </w:rPr>
              <w:t>cultural/tecnológico </w:t>
            </w:r>
            <w:r>
              <w:rPr>
                <w:sz w:val="20"/>
              </w:rPr>
              <w:t>según estaciones y</w:t>
            </w:r>
          </w:p>
          <w:p>
            <w:pPr>
              <w:pStyle w:val="TableParagraph"/>
              <w:spacing w:line="225" w:lineRule="exact"/>
              <w:ind w:left="68"/>
              <w:rPr>
                <w:sz w:val="20"/>
              </w:rPr>
            </w:pPr>
            <w:r>
              <w:rPr>
                <w:sz w:val="20"/>
              </w:rPr>
              <w:t>ciclo agrícola</w:t>
            </w:r>
          </w:p>
        </w:tc>
        <w:tc>
          <w:tcPr>
            <w:tcW w:w="1551" w:type="dxa"/>
            <w:shd w:val="clear" w:color="auto" w:fill="DDEBF7"/>
          </w:tcPr>
          <w:p>
            <w:pPr>
              <w:pStyle w:val="TableParagraph"/>
              <w:ind w:left="67" w:right="302"/>
              <w:rPr>
                <w:sz w:val="20"/>
              </w:rPr>
            </w:pPr>
            <w:r>
              <w:rPr>
                <w:sz w:val="20"/>
              </w:rPr>
              <w:t>Informes de campo ordinarios por docentes y equipos p/gestión académica</w:t>
            </w:r>
          </w:p>
        </w:tc>
      </w:tr>
      <w:tr>
        <w:trPr>
          <w:trHeight w:val="1953" w:hRule="atLeast"/>
        </w:trPr>
        <w:tc>
          <w:tcPr>
            <w:tcW w:w="2098" w:type="dxa"/>
            <w:vMerge/>
            <w:tcBorders>
              <w:top w:val="nil"/>
            </w:tcBorders>
            <w:shd w:val="clear" w:color="auto" w:fill="DDEBF7"/>
          </w:tcPr>
          <w:p>
            <w:pPr>
              <w:rPr>
                <w:sz w:val="2"/>
                <w:szCs w:val="2"/>
              </w:rPr>
            </w:pPr>
          </w:p>
        </w:tc>
        <w:tc>
          <w:tcPr>
            <w:tcW w:w="1868" w:type="dxa"/>
            <w:vMerge/>
            <w:tcBorders>
              <w:top w:val="nil"/>
            </w:tcBorders>
            <w:shd w:val="clear" w:color="auto" w:fill="DDEBF7"/>
          </w:tcPr>
          <w:p>
            <w:pPr>
              <w:rPr>
                <w:sz w:val="2"/>
                <w:szCs w:val="2"/>
              </w:rPr>
            </w:pPr>
          </w:p>
        </w:tc>
        <w:tc>
          <w:tcPr>
            <w:tcW w:w="1849" w:type="dxa"/>
            <w:shd w:val="clear" w:color="auto" w:fill="DDEBF7"/>
          </w:tcPr>
          <w:p>
            <w:pPr>
              <w:pStyle w:val="TableParagraph"/>
              <w:ind w:left="68" w:right="86"/>
              <w:rPr>
                <w:sz w:val="20"/>
              </w:rPr>
            </w:pPr>
            <w:r>
              <w:rPr>
                <w:sz w:val="20"/>
              </w:rPr>
              <w:t>41. Elaboración de Calendarios y contenidos temáticos en base a ciclos vitales quechua y plurinacional</w:t>
            </w:r>
          </w:p>
        </w:tc>
        <w:tc>
          <w:tcPr>
            <w:tcW w:w="1849" w:type="dxa"/>
            <w:shd w:val="clear" w:color="auto" w:fill="DDEBF7"/>
          </w:tcPr>
          <w:p>
            <w:pPr>
              <w:pStyle w:val="TableParagraph"/>
              <w:ind w:left="68" w:right="118"/>
              <w:rPr>
                <w:sz w:val="20"/>
              </w:rPr>
            </w:pPr>
            <w:r>
              <w:rPr>
                <w:sz w:val="20"/>
              </w:rPr>
              <w:t>Propuesta de sabios y Aplicación transversal de calendario </w:t>
            </w:r>
            <w:r>
              <w:rPr>
                <w:w w:val="95"/>
                <w:sz w:val="20"/>
              </w:rPr>
              <w:t>cultural/tecnológico </w:t>
            </w:r>
            <w:r>
              <w:rPr>
                <w:sz w:val="20"/>
              </w:rPr>
              <w:t>según estaciones y ciclo agrícola</w:t>
            </w:r>
          </w:p>
        </w:tc>
        <w:tc>
          <w:tcPr>
            <w:tcW w:w="1551" w:type="dxa"/>
            <w:shd w:val="clear" w:color="auto" w:fill="DDEBF7"/>
          </w:tcPr>
          <w:p>
            <w:pPr>
              <w:pStyle w:val="TableParagraph"/>
              <w:ind w:left="67" w:right="377"/>
              <w:rPr>
                <w:sz w:val="20"/>
              </w:rPr>
            </w:pPr>
            <w:r>
              <w:rPr>
                <w:sz w:val="20"/>
              </w:rPr>
              <w:t>Informes de eventos realizados e informes ordinarios de docentes p/gestión</w:t>
            </w:r>
          </w:p>
          <w:p>
            <w:pPr>
              <w:pStyle w:val="TableParagraph"/>
              <w:spacing w:line="225" w:lineRule="exact"/>
              <w:ind w:left="67"/>
              <w:rPr>
                <w:sz w:val="20"/>
              </w:rPr>
            </w:pPr>
            <w:r>
              <w:rPr>
                <w:sz w:val="20"/>
              </w:rPr>
              <w:t>académica</w:t>
            </w:r>
          </w:p>
        </w:tc>
      </w:tr>
    </w:tbl>
    <w:p>
      <w:pPr>
        <w:pStyle w:val="BodyText"/>
        <w:rPr>
          <w:rFonts w:ascii="Calibri"/>
          <w:b/>
          <w:sz w:val="20"/>
        </w:rPr>
      </w:pPr>
    </w:p>
    <w:p>
      <w:pPr>
        <w:pStyle w:val="BodyText"/>
        <w:spacing w:before="2"/>
        <w:rPr>
          <w:rFonts w:ascii="Calibri"/>
          <w:b/>
          <w:sz w:val="19"/>
        </w:rPr>
      </w:pPr>
    </w:p>
    <w:p>
      <w:pPr>
        <w:pStyle w:val="BodyText"/>
        <w:spacing w:line="278" w:lineRule="auto"/>
        <w:ind w:left="1082" w:right="856"/>
        <w:jc w:val="both"/>
      </w:pPr>
      <w:r>
        <w:rPr/>
        <w:t>Los profesionales egresados de la Unibol quechua así como  los  estudiantes durante</w:t>
      </w:r>
      <w:r>
        <w:rPr>
          <w:spacing w:val="11"/>
        </w:rPr>
        <w:t> </w:t>
      </w:r>
      <w:r>
        <w:rPr/>
        <w:t>su</w:t>
      </w:r>
      <w:r>
        <w:rPr>
          <w:spacing w:val="11"/>
        </w:rPr>
        <w:t> </w:t>
      </w:r>
      <w:r>
        <w:rPr/>
        <w:t>estadía</w:t>
      </w:r>
      <w:r>
        <w:rPr>
          <w:spacing w:val="12"/>
        </w:rPr>
        <w:t> </w:t>
      </w:r>
      <w:r>
        <w:rPr/>
        <w:t>en</w:t>
      </w:r>
      <w:r>
        <w:rPr>
          <w:spacing w:val="8"/>
        </w:rPr>
        <w:t> </w:t>
      </w:r>
      <w:r>
        <w:rPr/>
        <w:t>régimen</w:t>
      </w:r>
      <w:r>
        <w:rPr>
          <w:spacing w:val="12"/>
        </w:rPr>
        <w:t> </w:t>
      </w:r>
      <w:r>
        <w:rPr/>
        <w:t>de</w:t>
      </w:r>
      <w:r>
        <w:rPr>
          <w:spacing w:val="11"/>
        </w:rPr>
        <w:t> </w:t>
      </w:r>
      <w:r>
        <w:rPr/>
        <w:t>internado</w:t>
      </w:r>
      <w:r>
        <w:rPr>
          <w:spacing w:val="12"/>
        </w:rPr>
        <w:t> </w:t>
      </w:r>
      <w:r>
        <w:rPr/>
        <w:t>y</w:t>
      </w:r>
      <w:r>
        <w:rPr>
          <w:spacing w:val="7"/>
        </w:rPr>
        <w:t> </w:t>
      </w:r>
      <w:r>
        <w:rPr/>
        <w:t>el</w:t>
      </w:r>
      <w:r>
        <w:rPr>
          <w:spacing w:val="13"/>
        </w:rPr>
        <w:t> </w:t>
      </w:r>
      <w:r>
        <w:rPr/>
        <w:t>conjunto</w:t>
      </w:r>
      <w:r>
        <w:rPr>
          <w:spacing w:val="11"/>
        </w:rPr>
        <w:t> </w:t>
      </w:r>
      <w:r>
        <w:rPr/>
        <w:t>de</w:t>
      </w:r>
      <w:r>
        <w:rPr>
          <w:spacing w:val="12"/>
        </w:rPr>
        <w:t> </w:t>
      </w:r>
      <w:r>
        <w:rPr/>
        <w:t>la</w:t>
      </w:r>
      <w:r>
        <w:rPr>
          <w:spacing w:val="10"/>
        </w:rPr>
        <w:t> </w:t>
      </w:r>
      <w:r>
        <w:rPr/>
        <w:t>actividad</w:t>
      </w:r>
      <w:r>
        <w:rPr>
          <w:spacing w:val="11"/>
        </w:rPr>
        <w:t> </w:t>
      </w:r>
      <w:r>
        <w:rPr/>
        <w:t>académica</w:t>
      </w:r>
    </w:p>
    <w:p>
      <w:pPr>
        <w:spacing w:after="0" w:line="278" w:lineRule="auto"/>
        <w:jc w:val="both"/>
        <w:sectPr>
          <w:pgSz w:w="11910" w:h="16840"/>
          <w:pgMar w:header="0" w:footer="922" w:top="1320" w:bottom="1200" w:left="620" w:right="280"/>
        </w:sectPr>
      </w:pPr>
    </w:p>
    <w:p>
      <w:pPr>
        <w:pStyle w:val="BodyText"/>
        <w:spacing w:line="276" w:lineRule="auto" w:before="76"/>
        <w:ind w:left="1082" w:right="857"/>
        <w:jc w:val="both"/>
      </w:pPr>
      <w:r>
        <w:rPr/>
        <w:t>intra y exsitu, se a partir de su excelencia deben estar preparados para ejercer su profesión con un alto espíritu y convicción de pertenencia y fidelidad a la nación quechua y a la consecución de su posicionamiento como actor estratégico y sujeto colectivo fundamental de la soberanía alimentaria y de la generación de excedente que sustente su importancia en la dinámica del país.</w:t>
      </w:r>
    </w:p>
    <w:p>
      <w:pPr>
        <w:pStyle w:val="BodyText"/>
        <w:spacing w:line="276" w:lineRule="auto" w:before="201"/>
        <w:ind w:left="1082" w:right="847"/>
        <w:jc w:val="both"/>
      </w:pPr>
      <w:r>
        <w:rPr/>
        <w:t>Los diversos actores de la comunidad educativa del Yachayllajta UNIBOL , en esta perspectiva y en tanto forman parte de la Nación quechua y en el marco del legítimo ejercicio de sus usos y costumbres, régimen de vida y derechos colectivos amparados por la Constitución y convenios internacionales, impulsaran de forma proactiva y motivacional la practica constante de la cultura quechua en su integralidad e interculturalidad (idioma, ritualidad, tecnologías) en el conjunto del proceso académico en régimen combinado: internado  y territorial, estableciéndose el desarrollo u uso del quechua como el idioma oficial de la catedra y la complementariedad del castellano, ambos en una lógica de alta calidad oral y escrita. Esta preferencia corresponderá también a la producción intelectual de la UNIBOL y la convivencia cotidiana, particularmente será vigente en los estudios de titularización, debiendo ser estos también realizados en interacción con actores locales de la territorialidad quechua para una constante exposición a la interculturalidad y la empatía cultural con dichos contextos. Este  proceso  no excluye el aprendizaje de inglés técnico como idioma de nexo internacional de los productos de investigación y de intercambio. Dada la necesidad del manejo idiomático con alto nivel, la Universidad deberá prever su incorporación según el nivel y conveniencia, de los tres idiomas señalados, en su correspondiente necesidad de preeminencia que sea, oral o</w:t>
      </w:r>
      <w:r>
        <w:rPr>
          <w:spacing w:val="-13"/>
        </w:rPr>
        <w:t> </w:t>
      </w:r>
      <w:r>
        <w:rPr/>
        <w:t>escrita</w:t>
      </w:r>
    </w:p>
    <w:p>
      <w:pPr>
        <w:pStyle w:val="BodyText"/>
        <w:spacing w:line="276" w:lineRule="auto" w:before="201"/>
        <w:ind w:left="1082" w:right="852"/>
        <w:jc w:val="both"/>
      </w:pPr>
      <w:r>
        <w:rPr/>
        <w:t>Se procederá según una Planificación e implementación de las prácticas culturales quechuas para régimen de internado cotidiano y académico, basados en la guía y propuesta de sabios y convalidación en Juntas según atribuciones y su posterior ejecución según instancias académicas y administrativas respectivamente. Similar planificación y adaptación se realizara para las de las acciones de campo colectivas, grupales e individuales según los usos y costumbres de las territorialidades atendidas.</w:t>
      </w:r>
    </w:p>
    <w:p>
      <w:pPr>
        <w:pStyle w:val="BodyText"/>
        <w:spacing w:line="276" w:lineRule="auto" w:before="201"/>
        <w:ind w:left="1082" w:right="851"/>
        <w:jc w:val="both"/>
      </w:pPr>
      <w:r>
        <w:rPr/>
        <w:t>La guía general marco para ambos procesos será la armonización de actividades y aplicación transversal de calendario cultural/tecnológico según estaciones y ciclo agrícola , elaborándose dichos calendario como base de los calendarios  académicos y plan de estudios </w:t>
      </w:r>
      <w:r>
        <w:rPr>
          <w:spacing w:val="2"/>
        </w:rPr>
        <w:t>de </w:t>
      </w:r>
      <w:r>
        <w:rPr/>
        <w:t>cada carrera y materia / nivel, debiendo  generarse la sistematización e informes de su aplicación, con valor curricular permanentemente.</w:t>
      </w:r>
    </w:p>
    <w:p>
      <w:pPr>
        <w:spacing w:before="201"/>
        <w:ind w:left="1082" w:right="0" w:firstLine="0"/>
        <w:jc w:val="both"/>
        <w:rPr>
          <w:rFonts w:ascii="Calibri"/>
          <w:b/>
          <w:sz w:val="20"/>
        </w:rPr>
      </w:pPr>
      <w:r>
        <w:rPr>
          <w:rFonts w:ascii="Calibri"/>
          <w:b/>
          <w:sz w:val="20"/>
        </w:rPr>
        <w:t>LINEA DE ACCION 15: POSICIONAMIENTO INSTITUCIONAL</w:t>
      </w:r>
    </w:p>
    <w:p>
      <w:pPr>
        <w:pStyle w:val="BodyText"/>
        <w:spacing w:line="259" w:lineRule="auto" w:before="178"/>
        <w:ind w:left="1082" w:right="856"/>
        <w:jc w:val="both"/>
      </w:pPr>
      <w:r>
        <w:rPr/>
        <w:t>Todo el proceso descrito en todas las líneas de acción y traducidos en el aporte de profesionales con las características de calidad académica y de soluciones tecnológicas incorporadas en los procesos económicos, debe ser suficientemente</w:t>
      </w:r>
    </w:p>
    <w:p>
      <w:pPr>
        <w:spacing w:after="0" w:line="259" w:lineRule="auto"/>
        <w:jc w:val="both"/>
        <w:sectPr>
          <w:pgSz w:w="11910" w:h="16840"/>
          <w:pgMar w:header="0" w:footer="922" w:top="1320" w:bottom="1200" w:left="620" w:right="280"/>
        </w:sectPr>
      </w:pPr>
    </w:p>
    <w:p>
      <w:pPr>
        <w:pStyle w:val="BodyText"/>
        <w:spacing w:line="259" w:lineRule="auto" w:before="76"/>
        <w:ind w:left="1082" w:right="970"/>
      </w:pPr>
      <w:r>
        <w:rPr/>
        <w:t>difundido en el mundo académico, juvenil y decisional del país y en particular de la misma Nación quechua, así como en el ámbito académico del país e internacional,</w:t>
      </w:r>
    </w:p>
    <w:p>
      <w:pPr>
        <w:pStyle w:val="BodyText"/>
        <w:rPr>
          <w:sz w:val="20"/>
        </w:rPr>
      </w:pPr>
    </w:p>
    <w:p>
      <w:pPr>
        <w:pStyle w:val="BodyText"/>
        <w:rPr>
          <w:sz w:val="20"/>
        </w:rPr>
      </w:pPr>
    </w:p>
    <w:p>
      <w:pPr>
        <w:pStyle w:val="BodyText"/>
        <w:rPr>
          <w:sz w:val="11"/>
        </w:r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2"/>
        <w:gridCol w:w="1909"/>
        <w:gridCol w:w="1654"/>
        <w:gridCol w:w="1673"/>
        <w:gridCol w:w="2036"/>
      </w:tblGrid>
      <w:tr>
        <w:trPr>
          <w:trHeight w:val="760" w:hRule="atLeast"/>
        </w:trPr>
        <w:tc>
          <w:tcPr>
            <w:tcW w:w="1942" w:type="dxa"/>
            <w:shd w:val="clear" w:color="auto" w:fill="4F81BC"/>
          </w:tcPr>
          <w:p>
            <w:pPr>
              <w:pStyle w:val="TableParagraph"/>
              <w:spacing w:before="1"/>
              <w:ind w:left="422"/>
              <w:rPr>
                <w:b/>
                <w:sz w:val="20"/>
              </w:rPr>
            </w:pPr>
            <w:r>
              <w:rPr>
                <w:b/>
                <w:color w:val="FFFFFF"/>
                <w:sz w:val="20"/>
              </w:rPr>
              <w:t>RESULTADOS</w:t>
            </w:r>
          </w:p>
        </w:tc>
        <w:tc>
          <w:tcPr>
            <w:tcW w:w="1909" w:type="dxa"/>
            <w:shd w:val="clear" w:color="auto" w:fill="4F81BC"/>
          </w:tcPr>
          <w:p>
            <w:pPr>
              <w:pStyle w:val="TableParagraph"/>
              <w:spacing w:line="278" w:lineRule="auto"/>
              <w:ind w:left="381" w:firstLine="91"/>
              <w:rPr>
                <w:b/>
                <w:sz w:val="20"/>
              </w:rPr>
            </w:pPr>
            <w:r>
              <w:rPr>
                <w:b/>
                <w:color w:val="FFFFFF"/>
                <w:sz w:val="20"/>
              </w:rPr>
              <w:t>INDICADOR </w:t>
            </w:r>
            <w:r>
              <w:rPr>
                <w:b/>
                <w:color w:val="FFFFFF"/>
                <w:w w:val="95"/>
                <w:sz w:val="20"/>
              </w:rPr>
              <w:t>ESTRATÉGICO</w:t>
            </w:r>
          </w:p>
        </w:tc>
        <w:tc>
          <w:tcPr>
            <w:tcW w:w="1654" w:type="dxa"/>
            <w:shd w:val="clear" w:color="auto" w:fill="4F81BC"/>
          </w:tcPr>
          <w:p>
            <w:pPr>
              <w:pStyle w:val="TableParagraph"/>
              <w:spacing w:before="1"/>
              <w:ind w:left="265"/>
              <w:rPr>
                <w:b/>
                <w:sz w:val="20"/>
              </w:rPr>
            </w:pPr>
            <w:r>
              <w:rPr>
                <w:b/>
                <w:color w:val="FFFFFF"/>
                <w:sz w:val="20"/>
              </w:rPr>
              <w:t>ACTIVIDADES</w:t>
            </w:r>
          </w:p>
        </w:tc>
        <w:tc>
          <w:tcPr>
            <w:tcW w:w="1673" w:type="dxa"/>
            <w:shd w:val="clear" w:color="auto" w:fill="4F81BC"/>
          </w:tcPr>
          <w:p>
            <w:pPr>
              <w:pStyle w:val="TableParagraph"/>
              <w:spacing w:before="1"/>
              <w:ind w:left="188"/>
              <w:rPr>
                <w:b/>
                <w:sz w:val="20"/>
              </w:rPr>
            </w:pPr>
            <w:r>
              <w:rPr>
                <w:b/>
                <w:color w:val="FFFFFF"/>
                <w:sz w:val="20"/>
              </w:rPr>
              <w:t>METODOLOGIA</w:t>
            </w:r>
          </w:p>
        </w:tc>
        <w:tc>
          <w:tcPr>
            <w:tcW w:w="2036" w:type="dxa"/>
            <w:shd w:val="clear" w:color="auto" w:fill="4F81BC"/>
          </w:tcPr>
          <w:p>
            <w:pPr>
              <w:pStyle w:val="TableParagraph"/>
              <w:spacing w:before="1"/>
              <w:ind w:left="438"/>
              <w:rPr>
                <w:b/>
                <w:sz w:val="20"/>
              </w:rPr>
            </w:pPr>
            <w:r>
              <w:rPr>
                <w:b/>
                <w:color w:val="FFFFFF"/>
                <w:sz w:val="20"/>
              </w:rPr>
              <w:t>INDICADORES</w:t>
            </w:r>
          </w:p>
        </w:tc>
      </w:tr>
      <w:tr>
        <w:trPr>
          <w:trHeight w:val="2930" w:hRule="atLeast"/>
        </w:trPr>
        <w:tc>
          <w:tcPr>
            <w:tcW w:w="1942" w:type="dxa"/>
            <w:vMerge w:val="restart"/>
            <w:shd w:val="clear" w:color="auto" w:fill="DDEBF7"/>
          </w:tcPr>
          <w:p>
            <w:pPr>
              <w:pStyle w:val="TableParagraph"/>
              <w:ind w:left="69" w:right="47"/>
              <w:rPr>
                <w:sz w:val="20"/>
              </w:rPr>
            </w:pPr>
            <w:r>
              <w:rPr>
                <w:sz w:val="20"/>
              </w:rPr>
              <w:t>15. Posicionar los logros tecnológicos y de saberes de los actores quechuas de la comunidad educativa Yachayllajta UNIBOL en otros ámbitos académicos agrosilvopecuarios</w:t>
            </w:r>
          </w:p>
          <w:p>
            <w:pPr>
              <w:pStyle w:val="TableParagraph"/>
              <w:ind w:left="69"/>
              <w:rPr>
                <w:sz w:val="20"/>
              </w:rPr>
            </w:pPr>
            <w:r>
              <w:rPr>
                <w:sz w:val="20"/>
              </w:rPr>
              <w:t>de Bolivia y en otros espacios internacionales</w:t>
            </w:r>
          </w:p>
        </w:tc>
        <w:tc>
          <w:tcPr>
            <w:tcW w:w="1909" w:type="dxa"/>
            <w:vMerge w:val="restart"/>
            <w:shd w:val="clear" w:color="auto" w:fill="DDEBF7"/>
          </w:tcPr>
          <w:p>
            <w:pPr>
              <w:pStyle w:val="TableParagraph"/>
              <w:ind w:left="68" w:right="61"/>
              <w:rPr>
                <w:sz w:val="20"/>
              </w:rPr>
            </w:pPr>
            <w:r>
              <w:rPr>
                <w:sz w:val="20"/>
              </w:rPr>
              <w:t>70 % de las entidades gubernamentales  y el 40 % de actores productivos comunitario - privados presentes en 3 departamentos núcleo de la nación quechua, conocen de aportes tecnológicos concretos de </w:t>
            </w:r>
            <w:r>
              <w:rPr>
                <w:w w:val="95"/>
                <w:sz w:val="20"/>
              </w:rPr>
              <w:t>estudiantes/docentes </w:t>
            </w:r>
            <w:r>
              <w:rPr>
                <w:sz w:val="20"/>
              </w:rPr>
              <w:t>de UNIBOL al 3er trimestre del 4to</w:t>
            </w:r>
            <w:r>
              <w:rPr>
                <w:spacing w:val="-6"/>
                <w:sz w:val="20"/>
              </w:rPr>
              <w:t> </w:t>
            </w:r>
            <w:r>
              <w:rPr>
                <w:sz w:val="20"/>
              </w:rPr>
              <w:t>año</w:t>
            </w:r>
          </w:p>
        </w:tc>
        <w:tc>
          <w:tcPr>
            <w:tcW w:w="1654" w:type="dxa"/>
            <w:shd w:val="clear" w:color="auto" w:fill="DDEBF7"/>
          </w:tcPr>
          <w:p>
            <w:pPr>
              <w:pStyle w:val="TableParagraph"/>
              <w:ind w:left="68" w:right="133"/>
              <w:rPr>
                <w:sz w:val="20"/>
              </w:rPr>
            </w:pPr>
            <w:r>
              <w:rPr>
                <w:sz w:val="20"/>
              </w:rPr>
              <w:t>42. Intercambio y promoción presencial de innovaciones tecnológicas logradas.</w:t>
            </w:r>
          </w:p>
        </w:tc>
        <w:tc>
          <w:tcPr>
            <w:tcW w:w="1673" w:type="dxa"/>
            <w:shd w:val="clear" w:color="auto" w:fill="DDEBF7"/>
          </w:tcPr>
          <w:p>
            <w:pPr>
              <w:pStyle w:val="TableParagraph"/>
              <w:ind w:left="68" w:right="197"/>
              <w:rPr>
                <w:sz w:val="20"/>
              </w:rPr>
            </w:pPr>
            <w:r>
              <w:rPr>
                <w:sz w:val="20"/>
              </w:rPr>
              <w:t>Oferta, concertación y ejecución de acuerdos de intercambio de logros tecnológicos con contrapartes o eventos relevantes según calendario</w:t>
            </w:r>
          </w:p>
          <w:p>
            <w:pPr>
              <w:pStyle w:val="TableParagraph"/>
              <w:spacing w:line="225" w:lineRule="exact"/>
              <w:ind w:left="68"/>
              <w:rPr>
                <w:sz w:val="20"/>
              </w:rPr>
            </w:pPr>
            <w:r>
              <w:rPr>
                <w:sz w:val="20"/>
              </w:rPr>
              <w:t>agrícola</w:t>
            </w:r>
          </w:p>
        </w:tc>
        <w:tc>
          <w:tcPr>
            <w:tcW w:w="2036" w:type="dxa"/>
            <w:shd w:val="clear" w:color="auto" w:fill="DDEBF7"/>
          </w:tcPr>
          <w:p>
            <w:pPr>
              <w:pStyle w:val="TableParagraph"/>
              <w:ind w:left="68" w:right="260"/>
              <w:rPr>
                <w:sz w:val="20"/>
              </w:rPr>
            </w:pPr>
            <w:r>
              <w:rPr>
                <w:sz w:val="20"/>
              </w:rPr>
              <w:t>Por lo menos 2 intercambios presenciales anuales ejecutados</w:t>
            </w:r>
          </w:p>
        </w:tc>
      </w:tr>
      <w:tr>
        <w:trPr>
          <w:trHeight w:val="2440" w:hRule="atLeast"/>
        </w:trPr>
        <w:tc>
          <w:tcPr>
            <w:tcW w:w="1942" w:type="dxa"/>
            <w:vMerge/>
            <w:tcBorders>
              <w:top w:val="nil"/>
            </w:tcBorders>
            <w:shd w:val="clear" w:color="auto" w:fill="DDEBF7"/>
          </w:tcPr>
          <w:p>
            <w:pPr>
              <w:rPr>
                <w:sz w:val="2"/>
                <w:szCs w:val="2"/>
              </w:rPr>
            </w:pPr>
          </w:p>
        </w:tc>
        <w:tc>
          <w:tcPr>
            <w:tcW w:w="1909" w:type="dxa"/>
            <w:vMerge/>
            <w:tcBorders>
              <w:top w:val="nil"/>
            </w:tcBorders>
            <w:shd w:val="clear" w:color="auto" w:fill="DDEBF7"/>
          </w:tcPr>
          <w:p>
            <w:pPr>
              <w:rPr>
                <w:sz w:val="2"/>
                <w:szCs w:val="2"/>
              </w:rPr>
            </w:pPr>
          </w:p>
        </w:tc>
        <w:tc>
          <w:tcPr>
            <w:tcW w:w="1654" w:type="dxa"/>
            <w:shd w:val="clear" w:color="auto" w:fill="DDEBF7"/>
          </w:tcPr>
          <w:p>
            <w:pPr>
              <w:pStyle w:val="TableParagraph"/>
              <w:ind w:left="68" w:right="133"/>
              <w:rPr>
                <w:sz w:val="20"/>
              </w:rPr>
            </w:pPr>
            <w:r>
              <w:rPr>
                <w:sz w:val="20"/>
              </w:rPr>
              <w:t>43. Intercambio y promoción no presencial de innovaciones tecnológicas logradas.</w:t>
            </w:r>
          </w:p>
        </w:tc>
        <w:tc>
          <w:tcPr>
            <w:tcW w:w="1673" w:type="dxa"/>
            <w:shd w:val="clear" w:color="auto" w:fill="DDEBF7"/>
          </w:tcPr>
          <w:p>
            <w:pPr>
              <w:pStyle w:val="TableParagraph"/>
              <w:ind w:left="68" w:right="213"/>
              <w:rPr>
                <w:sz w:val="20"/>
              </w:rPr>
            </w:pPr>
            <w:r>
              <w:rPr>
                <w:sz w:val="20"/>
              </w:rPr>
              <w:t>Oferta, concertación y ejecución de acuerdos de intercambio de logros tecnológicos con contrapartes o eventos</w:t>
            </w:r>
          </w:p>
          <w:p>
            <w:pPr>
              <w:pStyle w:val="TableParagraph"/>
              <w:spacing w:line="223" w:lineRule="exact"/>
              <w:ind w:left="68"/>
              <w:rPr>
                <w:sz w:val="20"/>
              </w:rPr>
            </w:pPr>
            <w:r>
              <w:rPr>
                <w:sz w:val="20"/>
              </w:rPr>
              <w:t>relevantes</w:t>
            </w:r>
          </w:p>
        </w:tc>
        <w:tc>
          <w:tcPr>
            <w:tcW w:w="2036" w:type="dxa"/>
            <w:shd w:val="clear" w:color="auto" w:fill="DDEBF7"/>
          </w:tcPr>
          <w:p>
            <w:pPr>
              <w:pStyle w:val="TableParagraph"/>
              <w:ind w:left="68"/>
              <w:rPr>
                <w:sz w:val="20"/>
              </w:rPr>
            </w:pPr>
            <w:r>
              <w:rPr>
                <w:sz w:val="20"/>
              </w:rPr>
              <w:t>Por lo menos 10 </w:t>
            </w:r>
            <w:r>
              <w:rPr>
                <w:w w:val="95"/>
                <w:sz w:val="20"/>
              </w:rPr>
              <w:t>intercambios/trimestre </w:t>
            </w:r>
            <w:r>
              <w:rPr>
                <w:sz w:val="20"/>
              </w:rPr>
              <w:t>pactados</w:t>
            </w:r>
          </w:p>
        </w:tc>
      </w:tr>
      <w:tr>
        <w:trPr>
          <w:trHeight w:val="1955" w:hRule="atLeast"/>
        </w:trPr>
        <w:tc>
          <w:tcPr>
            <w:tcW w:w="1942" w:type="dxa"/>
            <w:vMerge/>
            <w:tcBorders>
              <w:top w:val="nil"/>
            </w:tcBorders>
            <w:shd w:val="clear" w:color="auto" w:fill="DDEBF7"/>
          </w:tcPr>
          <w:p>
            <w:pPr>
              <w:rPr>
                <w:sz w:val="2"/>
                <w:szCs w:val="2"/>
              </w:rPr>
            </w:pPr>
          </w:p>
        </w:tc>
        <w:tc>
          <w:tcPr>
            <w:tcW w:w="1909" w:type="dxa"/>
            <w:vMerge/>
            <w:tcBorders>
              <w:top w:val="nil"/>
            </w:tcBorders>
            <w:shd w:val="clear" w:color="auto" w:fill="DDEBF7"/>
          </w:tcPr>
          <w:p>
            <w:pPr>
              <w:rPr>
                <w:sz w:val="2"/>
                <w:szCs w:val="2"/>
              </w:rPr>
            </w:pPr>
          </w:p>
        </w:tc>
        <w:tc>
          <w:tcPr>
            <w:tcW w:w="1654" w:type="dxa"/>
            <w:shd w:val="clear" w:color="auto" w:fill="DDEBF7"/>
          </w:tcPr>
          <w:p>
            <w:pPr>
              <w:pStyle w:val="TableParagraph"/>
              <w:spacing w:before="1"/>
              <w:ind w:left="68" w:right="58"/>
              <w:rPr>
                <w:sz w:val="20"/>
              </w:rPr>
            </w:pPr>
            <w:r>
              <w:rPr>
                <w:sz w:val="20"/>
              </w:rPr>
              <w:t>44. Difusión de la imagen institucional como núcleo de innovación tecnológica comunitaria y</w:t>
            </w:r>
          </w:p>
          <w:p>
            <w:pPr>
              <w:pStyle w:val="TableParagraph"/>
              <w:spacing w:line="225" w:lineRule="exact"/>
              <w:ind w:left="68"/>
              <w:rPr>
                <w:sz w:val="20"/>
              </w:rPr>
            </w:pPr>
            <w:r>
              <w:rPr>
                <w:sz w:val="20"/>
              </w:rPr>
              <w:t>territorial.</w:t>
            </w:r>
          </w:p>
        </w:tc>
        <w:tc>
          <w:tcPr>
            <w:tcW w:w="1673" w:type="dxa"/>
            <w:shd w:val="clear" w:color="auto" w:fill="DDEBF7"/>
          </w:tcPr>
          <w:p>
            <w:pPr>
              <w:pStyle w:val="TableParagraph"/>
              <w:spacing w:before="1"/>
              <w:ind w:left="68" w:right="16"/>
              <w:rPr>
                <w:sz w:val="20"/>
              </w:rPr>
            </w:pPr>
            <w:r>
              <w:rPr>
                <w:sz w:val="20"/>
              </w:rPr>
              <w:t>Selección de innovaciones exitosas y diseño/ejecución de estrategia de difusión (impreso, audiovisual,</w:t>
            </w:r>
          </w:p>
          <w:p>
            <w:pPr>
              <w:pStyle w:val="TableParagraph"/>
              <w:spacing w:line="225" w:lineRule="exact"/>
              <w:ind w:left="68"/>
              <w:rPr>
                <w:sz w:val="20"/>
              </w:rPr>
            </w:pPr>
            <w:r>
              <w:rPr>
                <w:sz w:val="20"/>
              </w:rPr>
              <w:t>mediática)</w:t>
            </w:r>
          </w:p>
        </w:tc>
        <w:tc>
          <w:tcPr>
            <w:tcW w:w="2036" w:type="dxa"/>
            <w:shd w:val="clear" w:color="auto" w:fill="DDEBF7"/>
          </w:tcPr>
          <w:p>
            <w:pPr>
              <w:pStyle w:val="TableParagraph"/>
              <w:spacing w:before="1"/>
              <w:ind w:left="68" w:right="91"/>
              <w:rPr>
                <w:sz w:val="20"/>
              </w:rPr>
            </w:pPr>
            <w:r>
              <w:rPr>
                <w:sz w:val="20"/>
              </w:rPr>
              <w:t>Por lo menos 1 innovación/carrera presentada en soporte multimediática/año</w:t>
            </w:r>
          </w:p>
        </w:tc>
      </w:tr>
    </w:tbl>
    <w:p>
      <w:pPr>
        <w:pStyle w:val="BodyText"/>
        <w:spacing w:before="8"/>
        <w:rPr>
          <w:sz w:val="12"/>
        </w:rPr>
      </w:pPr>
    </w:p>
    <w:p>
      <w:pPr>
        <w:pStyle w:val="BodyText"/>
        <w:spacing w:line="276" w:lineRule="auto" w:before="92"/>
        <w:ind w:left="1082" w:right="848"/>
        <w:jc w:val="both"/>
      </w:pPr>
      <w:r>
        <w:rPr/>
        <w:t>para ello, se generarán procesos y campañas para Posicionar los logros tecnológicos y de saberes de los actores quechuas de la comunidad educativa Yachayllajta UNIBOL en otros ámbitos académicos agrosilvopecuarios de Bolivia y en otros espacios internacionales, implicando a que entidades gubernamentales y actores productivos comunitario - privados presentes en 3 departamentos núcleo de la nación quechua, conozcan y difundan los aportes tecnológicos concretos de estudiantes/docentes de</w:t>
      </w:r>
      <w:r>
        <w:rPr>
          <w:spacing w:val="65"/>
        </w:rPr>
        <w:t> </w:t>
      </w:r>
      <w:r>
        <w:rPr/>
        <w:t>UNIBOL.</w:t>
      </w:r>
    </w:p>
    <w:p>
      <w:pPr>
        <w:pStyle w:val="BodyText"/>
        <w:spacing w:before="9"/>
        <w:rPr>
          <w:sz w:val="20"/>
        </w:rPr>
      </w:pPr>
    </w:p>
    <w:p>
      <w:pPr>
        <w:pStyle w:val="BodyText"/>
        <w:spacing w:line="276" w:lineRule="auto"/>
        <w:ind w:left="1082" w:right="847"/>
        <w:jc w:val="both"/>
      </w:pPr>
      <w:r>
        <w:rPr/>
        <w:t>Por una parte, se desarrollaran campañas permanentes de Intercambio y promoción presencial de innovaciones tecnológicas lograda, facturando para ello acciones de oferta, concertación y ejecución de acuerdos de intercambio de logros tecnológicos con contrapartes o eventos relevantes según calendario agrícola cada año. Este intercambio presencial significará por una parte procesos de selección del conjunto de las actividades</w:t>
      </w:r>
      <w:r>
        <w:rPr>
          <w:spacing w:val="53"/>
        </w:rPr>
        <w:t> </w:t>
      </w:r>
      <w:r>
        <w:rPr/>
        <w:t>de campo,</w:t>
      </w:r>
      <w:r>
        <w:rPr>
          <w:spacing w:val="54"/>
        </w:rPr>
        <w:t> </w:t>
      </w:r>
      <w:r>
        <w:rPr/>
        <w:t>en la misma yacahyllajta,</w:t>
      </w:r>
      <w:r>
        <w:rPr>
          <w:spacing w:val="54"/>
        </w:rPr>
        <w:t> </w:t>
      </w:r>
      <w:r>
        <w:rPr/>
        <w:t>en las investigaciones o</w:t>
      </w:r>
    </w:p>
    <w:p>
      <w:pPr>
        <w:spacing w:after="0" w:line="276" w:lineRule="auto"/>
        <w:jc w:val="both"/>
        <w:sectPr>
          <w:pgSz w:w="11910" w:h="16840"/>
          <w:pgMar w:header="0" w:footer="922" w:top="1320" w:bottom="1200" w:left="620" w:right="280"/>
        </w:sectPr>
      </w:pPr>
    </w:p>
    <w:p>
      <w:pPr>
        <w:pStyle w:val="BodyText"/>
        <w:spacing w:line="276" w:lineRule="auto" w:before="76"/>
        <w:ind w:left="1082" w:right="859"/>
        <w:jc w:val="both"/>
      </w:pPr>
      <w:r>
        <w:rPr/>
        <w:t>innovaciones realizadas, acudiendo a eventos, encuentros, ferias, demostraciones , concursos e intercambios que permitan esta difusión, así como logrando el auspicio necesario para su difusión presencial.</w:t>
      </w:r>
    </w:p>
    <w:p>
      <w:pPr>
        <w:pStyle w:val="BodyText"/>
        <w:spacing w:before="10"/>
        <w:rPr>
          <w:sz w:val="20"/>
        </w:rPr>
      </w:pPr>
    </w:p>
    <w:p>
      <w:pPr>
        <w:pStyle w:val="BodyText"/>
        <w:spacing w:line="276" w:lineRule="auto"/>
        <w:ind w:left="1082" w:right="846"/>
        <w:jc w:val="both"/>
      </w:pPr>
      <w:r>
        <w:rPr/>
        <w:t>Paralelamente y de forma complementaria debe desarrollarse un sistema permanente de difusión, Intercambio y promoción no presencial de innovaciones tecnológicas logradas, mismo que permita la Oferta, concertación y ejecución de acuerdos de intercambio de logros tecnológicos con contrapartes o eventos relevantes. La instancia encargada de las relaciones interinstitucionales e internacionales de la Universidad será la dinamizadora de esta difusión a ejecutarse de manera multimediática.</w:t>
      </w:r>
    </w:p>
    <w:p>
      <w:pPr>
        <w:pStyle w:val="BodyText"/>
        <w:rPr>
          <w:sz w:val="21"/>
        </w:rPr>
      </w:pPr>
    </w:p>
    <w:p>
      <w:pPr>
        <w:pStyle w:val="BodyText"/>
        <w:spacing w:line="276" w:lineRule="auto"/>
        <w:ind w:left="1082" w:right="849"/>
        <w:jc w:val="both"/>
      </w:pPr>
      <w:r>
        <w:rPr/>
        <w:t>Como corolario de toda la dinámica la UNIBOL desarrollara campañas de Difusión de la imagen institucional como núcleo de innovación tecnológica comunitaria y territorial. Procediendo a la Selección de innovaciones exitosas y  el diseño/ejecución de estrategia de difusión (impreso, audiovisual, mediática), a la  que necesariamente la Universidad contextualizara como producto el modelo universitario que representa. Tocará también a las organizaciones sociales y productivas de la nación quechua y del mismo Gobierno plurinacional, sumar recursos para la diseminación de estos</w:t>
      </w:r>
      <w:r>
        <w:rPr>
          <w:spacing w:val="-3"/>
        </w:rPr>
        <w:t> </w:t>
      </w:r>
      <w:r>
        <w:rPr/>
        <w:t>resultados.</w:t>
      </w:r>
    </w:p>
    <w:p>
      <w:pPr>
        <w:pStyle w:val="BodyText"/>
        <w:spacing w:before="11"/>
        <w:rPr>
          <w:sz w:val="20"/>
        </w:rPr>
      </w:pPr>
    </w:p>
    <w:p>
      <w:pPr>
        <w:pStyle w:val="Heading3"/>
        <w:numPr>
          <w:ilvl w:val="1"/>
          <w:numId w:val="48"/>
        </w:numPr>
        <w:tabs>
          <w:tab w:pos="2085" w:val="left" w:leader="none"/>
          <w:tab w:pos="2086" w:val="left" w:leader="none"/>
        </w:tabs>
        <w:spacing w:line="240" w:lineRule="auto" w:before="0" w:after="0"/>
        <w:ind w:left="2085" w:right="0" w:hanging="721"/>
        <w:jc w:val="left"/>
      </w:pPr>
      <w:r>
        <w:rPr/>
        <w:t>CRONOGRAMA</w:t>
      </w:r>
    </w:p>
    <w:p>
      <w:pPr>
        <w:pStyle w:val="BodyText"/>
        <w:spacing w:before="98"/>
        <w:ind w:left="1082" w:right="850"/>
        <w:jc w:val="both"/>
      </w:pPr>
      <w:r>
        <w:rPr/>
        <w:t>La Implementación de la estrategia en su primera ciclo quinquenal combina el calendario formal que rige en el sistema  de planificación  del estado  que  está sujeto al calendario formal de enero a diciembre , sin embargo, toda vez que el objeto central sobre el que actúa la Institución  dado su carácter  relacionado al   ciclo natural  agrosilvopecuario  regido por el  ciclo anual de vida y las estaciones,  es más conveniente para las evaluaciones y planeamiento productivo, se propone una implementación trimestral que en cierta manera corresponda  con  las estaciones por una parte y con el mencionado calendario fiscal y de planificación estatal.</w:t>
      </w:r>
    </w:p>
    <w:p>
      <w:pPr>
        <w:pStyle w:val="BodyText"/>
        <w:spacing w:before="1"/>
      </w:pPr>
    </w:p>
    <w:p>
      <w:pPr>
        <w:pStyle w:val="BodyText"/>
        <w:ind w:left="1082" w:right="846" w:firstLine="67"/>
        <w:jc w:val="both"/>
      </w:pPr>
      <w:r>
        <w:rPr/>
        <w:t>Bajo ambos determinantes temporales, la verificación de las actividades para cara resultado, están señaladas por trimestre de conclusión de la actividad mencionada. Siendo las cuatro Dimensiones que de forma sincrónica y simultanea deben ser implementadas, el cronograma   responde a estas dimensiones en su presentación  y rige por lo tanto para el accionar en y de todos los niveles de actores , sea el Institucional, de Nación Quechua, Plurinacional y su Incidencia Internacional, lo que obliga a que los actores a su vez deban sincronizar su accionar por nivel y por dimensión sujetos a los ciclos de las estaciones, siendo el Chaupi o núcleo dinamizador el Ciclo académico anual que le toca como responsabilidad a la Yachayllajta UNIBOL Quechua Casimiro</w:t>
      </w:r>
      <w:r>
        <w:rPr>
          <w:spacing w:val="-2"/>
        </w:rPr>
        <w:t> </w:t>
      </w:r>
      <w:r>
        <w:rPr/>
        <w:t>Huanca.</w:t>
      </w:r>
    </w:p>
    <w:p>
      <w:pPr>
        <w:pStyle w:val="BodyText"/>
      </w:pPr>
    </w:p>
    <w:p>
      <w:pPr>
        <w:pStyle w:val="BodyText"/>
        <w:spacing w:before="1"/>
        <w:ind w:left="1082" w:right="850"/>
        <w:jc w:val="both"/>
      </w:pPr>
      <w:r>
        <w:rPr/>
        <w:t>Referencialmente la semana de los equinoccios y los solsticios respectivos de cada trimestre, corresponde al periodo de verificación en el que se hagan ajuste de los avances y de lectura del contexto para continuar su realización. Cabe señalar que Los plazos de las acciones y los indicadores verificables son únicos para los actores de todos los niveles.</w:t>
      </w:r>
    </w:p>
    <w:p>
      <w:pPr>
        <w:spacing w:after="0"/>
        <w:jc w:val="both"/>
        <w:sectPr>
          <w:pgSz w:w="11910" w:h="16840"/>
          <w:pgMar w:header="0" w:footer="922" w:top="1320" w:bottom="1200" w:left="620" w:right="280"/>
        </w:sectPr>
      </w:pPr>
    </w:p>
    <w:p>
      <w:pPr>
        <w:pStyle w:val="BodyText"/>
        <w:spacing w:before="7"/>
        <w:rPr>
          <w:sz w:val="13"/>
        </w:rPr>
      </w:pPr>
    </w:p>
    <w:p>
      <w:pPr>
        <w:pStyle w:val="Heading3"/>
        <w:spacing w:before="52"/>
        <w:rPr>
          <w:rFonts w:ascii="Calibri" w:hAnsi="Calibri"/>
        </w:rPr>
      </w:pPr>
      <w:r>
        <w:rPr>
          <w:rFonts w:ascii="Calibri" w:hAnsi="Calibri"/>
        </w:rPr>
        <w:t>CRONOGRAMA PLIURIANUAL POR TRIMESTRES SEGÚN DIMENSION (PEI 2016 -2020)</w:t>
      </w:r>
    </w:p>
    <w:tbl>
      <w:tblPr>
        <w:tblW w:w="0" w:type="auto"/>
        <w:jc w:val="left"/>
        <w:tblInd w:w="1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36"/>
        <w:gridCol w:w="1841"/>
        <w:gridCol w:w="1296"/>
        <w:gridCol w:w="240"/>
        <w:gridCol w:w="243"/>
        <w:gridCol w:w="243"/>
        <w:gridCol w:w="243"/>
        <w:gridCol w:w="243"/>
        <w:gridCol w:w="243"/>
        <w:gridCol w:w="241"/>
        <w:gridCol w:w="243"/>
        <w:gridCol w:w="243"/>
        <w:gridCol w:w="243"/>
        <w:gridCol w:w="243"/>
        <w:gridCol w:w="243"/>
        <w:gridCol w:w="241"/>
        <w:gridCol w:w="243"/>
        <w:gridCol w:w="243"/>
        <w:gridCol w:w="243"/>
        <w:gridCol w:w="243"/>
        <w:gridCol w:w="243"/>
        <w:gridCol w:w="241"/>
        <w:gridCol w:w="243"/>
      </w:tblGrid>
      <w:tr>
        <w:trPr>
          <w:trHeight w:val="345" w:hRule="atLeast"/>
        </w:trPr>
        <w:tc>
          <w:tcPr>
            <w:tcW w:w="4373" w:type="dxa"/>
            <w:gridSpan w:val="3"/>
            <w:tcBorders>
              <w:bottom w:val="single" w:sz="4" w:space="0" w:color="000000"/>
              <w:right w:val="single" w:sz="4" w:space="0" w:color="000000"/>
            </w:tcBorders>
            <w:shd w:val="clear" w:color="auto" w:fill="92D050"/>
          </w:tcPr>
          <w:p>
            <w:pPr>
              <w:pStyle w:val="TableParagraph"/>
              <w:spacing w:before="51"/>
              <w:ind w:left="69"/>
              <w:rPr>
                <w:b/>
                <w:sz w:val="20"/>
              </w:rPr>
            </w:pPr>
            <w:r>
              <w:rPr>
                <w:b/>
                <w:sz w:val="20"/>
              </w:rPr>
              <w:t>DIMENSION YACHAY</w:t>
            </w:r>
          </w:p>
        </w:tc>
        <w:tc>
          <w:tcPr>
            <w:tcW w:w="969" w:type="dxa"/>
            <w:gridSpan w:val="4"/>
            <w:tcBorders>
              <w:left w:val="single" w:sz="4" w:space="0" w:color="000000"/>
              <w:bottom w:val="single" w:sz="4" w:space="0" w:color="000000"/>
              <w:right w:val="single" w:sz="4" w:space="0" w:color="000000"/>
            </w:tcBorders>
            <w:shd w:val="clear" w:color="auto" w:fill="6F2F9F"/>
          </w:tcPr>
          <w:p>
            <w:pPr>
              <w:pStyle w:val="TableParagraph"/>
              <w:spacing w:before="1"/>
              <w:ind w:left="259"/>
              <w:rPr>
                <w:sz w:val="20"/>
              </w:rPr>
            </w:pPr>
            <w:r>
              <w:rPr>
                <w:sz w:val="20"/>
              </w:rPr>
              <w:t>año 1</w:t>
            </w:r>
          </w:p>
        </w:tc>
        <w:tc>
          <w:tcPr>
            <w:tcW w:w="970" w:type="dxa"/>
            <w:gridSpan w:val="4"/>
            <w:tcBorders>
              <w:left w:val="single" w:sz="4" w:space="0" w:color="000000"/>
              <w:bottom w:val="single" w:sz="4" w:space="0" w:color="000000"/>
              <w:right w:val="single" w:sz="4" w:space="0" w:color="000000"/>
            </w:tcBorders>
            <w:shd w:val="clear" w:color="auto" w:fill="C55811"/>
          </w:tcPr>
          <w:p>
            <w:pPr>
              <w:pStyle w:val="TableParagraph"/>
              <w:spacing w:before="1"/>
              <w:ind w:left="260"/>
              <w:rPr>
                <w:sz w:val="20"/>
              </w:rPr>
            </w:pPr>
            <w:r>
              <w:rPr>
                <w:sz w:val="20"/>
              </w:rPr>
              <w:t>año 2</w:t>
            </w:r>
          </w:p>
        </w:tc>
        <w:tc>
          <w:tcPr>
            <w:tcW w:w="972" w:type="dxa"/>
            <w:gridSpan w:val="4"/>
            <w:tcBorders>
              <w:left w:val="single" w:sz="4" w:space="0" w:color="000000"/>
              <w:bottom w:val="single" w:sz="4" w:space="0" w:color="000000"/>
              <w:right w:val="single" w:sz="4" w:space="0" w:color="000000"/>
            </w:tcBorders>
          </w:tcPr>
          <w:p>
            <w:pPr>
              <w:pStyle w:val="TableParagraph"/>
              <w:spacing w:before="1"/>
              <w:ind w:left="257"/>
              <w:rPr>
                <w:sz w:val="20"/>
              </w:rPr>
            </w:pPr>
            <w:r>
              <w:rPr>
                <w:sz w:val="20"/>
              </w:rPr>
              <w:t>año 3</w:t>
            </w:r>
          </w:p>
        </w:tc>
        <w:tc>
          <w:tcPr>
            <w:tcW w:w="970" w:type="dxa"/>
            <w:gridSpan w:val="4"/>
            <w:tcBorders>
              <w:left w:val="single" w:sz="4" w:space="0" w:color="000000"/>
              <w:bottom w:val="single" w:sz="4" w:space="0" w:color="000000"/>
              <w:right w:val="single" w:sz="4" w:space="0" w:color="000000"/>
            </w:tcBorders>
            <w:shd w:val="clear" w:color="auto" w:fill="66FF33"/>
          </w:tcPr>
          <w:p>
            <w:pPr>
              <w:pStyle w:val="TableParagraph"/>
              <w:spacing w:before="1"/>
              <w:ind w:left="253"/>
              <w:rPr>
                <w:sz w:val="20"/>
              </w:rPr>
            </w:pPr>
            <w:r>
              <w:rPr>
                <w:sz w:val="20"/>
              </w:rPr>
              <w:t>año 4</w:t>
            </w:r>
          </w:p>
        </w:tc>
        <w:tc>
          <w:tcPr>
            <w:tcW w:w="970" w:type="dxa"/>
            <w:gridSpan w:val="4"/>
            <w:tcBorders>
              <w:left w:val="single" w:sz="4" w:space="0" w:color="000000"/>
              <w:bottom w:val="single" w:sz="4" w:space="0" w:color="000000"/>
            </w:tcBorders>
            <w:shd w:val="clear" w:color="auto" w:fill="FF3300"/>
          </w:tcPr>
          <w:p>
            <w:pPr>
              <w:pStyle w:val="TableParagraph"/>
              <w:spacing w:before="1"/>
              <w:ind w:left="252"/>
              <w:rPr>
                <w:sz w:val="20"/>
              </w:rPr>
            </w:pPr>
            <w:r>
              <w:rPr>
                <w:sz w:val="20"/>
              </w:rPr>
              <w:t>año 5</w:t>
            </w:r>
          </w:p>
        </w:tc>
      </w:tr>
      <w:tr>
        <w:trPr>
          <w:trHeight w:val="273" w:hRule="atLeast"/>
        </w:trPr>
        <w:tc>
          <w:tcPr>
            <w:tcW w:w="1236" w:type="dxa"/>
            <w:tcBorders>
              <w:top w:val="single" w:sz="4" w:space="0" w:color="000000"/>
              <w:bottom w:val="single" w:sz="4" w:space="0" w:color="000000"/>
              <w:right w:val="single" w:sz="4" w:space="0" w:color="000000"/>
            </w:tcBorders>
            <w:shd w:val="clear" w:color="auto" w:fill="6FAC46"/>
          </w:tcPr>
          <w:p>
            <w:pPr>
              <w:pStyle w:val="TableParagraph"/>
              <w:spacing w:line="243" w:lineRule="exact"/>
              <w:ind w:left="69"/>
              <w:rPr>
                <w:b/>
                <w:sz w:val="20"/>
              </w:rPr>
            </w:pPr>
            <w:r>
              <w:rPr>
                <w:b/>
                <w:sz w:val="20"/>
              </w:rPr>
              <w:t>RESULTADOS</w:t>
            </w:r>
          </w:p>
        </w:tc>
        <w:tc>
          <w:tcPr>
            <w:tcW w:w="1841" w:type="dxa"/>
            <w:tcBorders>
              <w:top w:val="single" w:sz="4" w:space="0" w:color="000000"/>
              <w:left w:val="single" w:sz="4" w:space="0" w:color="000000"/>
              <w:bottom w:val="single" w:sz="4" w:space="0" w:color="000000"/>
              <w:right w:val="single" w:sz="4" w:space="0" w:color="000000"/>
            </w:tcBorders>
            <w:shd w:val="clear" w:color="auto" w:fill="6FAC46"/>
          </w:tcPr>
          <w:p>
            <w:pPr>
              <w:pStyle w:val="TableParagraph"/>
              <w:spacing w:line="243" w:lineRule="exact"/>
              <w:ind w:left="74"/>
              <w:rPr>
                <w:b/>
                <w:sz w:val="20"/>
              </w:rPr>
            </w:pPr>
            <w:r>
              <w:rPr>
                <w:b/>
                <w:sz w:val="20"/>
              </w:rPr>
              <w:t>ACTIVIDADES</w:t>
            </w:r>
          </w:p>
        </w:tc>
        <w:tc>
          <w:tcPr>
            <w:tcW w:w="1296" w:type="dxa"/>
            <w:tcBorders>
              <w:top w:val="single" w:sz="4" w:space="0" w:color="000000"/>
              <w:left w:val="single" w:sz="4" w:space="0" w:color="000000"/>
              <w:bottom w:val="single" w:sz="4" w:space="0" w:color="000000"/>
              <w:right w:val="single" w:sz="4" w:space="0" w:color="000000"/>
            </w:tcBorders>
            <w:shd w:val="clear" w:color="auto" w:fill="6FAC46"/>
          </w:tcPr>
          <w:p>
            <w:pPr>
              <w:pStyle w:val="TableParagraph"/>
              <w:spacing w:line="243" w:lineRule="exact"/>
              <w:ind w:left="170"/>
              <w:rPr>
                <w:b/>
                <w:sz w:val="20"/>
              </w:rPr>
            </w:pPr>
            <w:r>
              <w:rPr>
                <w:b/>
                <w:sz w:val="20"/>
              </w:rPr>
              <w:t>verificaciòn</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2"/>
              <w:rPr>
                <w:b/>
                <w:sz w:val="20"/>
              </w:rPr>
            </w:pPr>
            <w:r>
              <w:rPr>
                <w:b/>
                <w:w w:val="99"/>
                <w:sz w:val="20"/>
              </w:rPr>
              <w:t>1</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4"/>
              <w:rPr>
                <w:b/>
                <w:sz w:val="20"/>
              </w:rPr>
            </w:pPr>
            <w:r>
              <w:rPr>
                <w:b/>
                <w:w w:val="99"/>
                <w:sz w:val="20"/>
              </w:rPr>
              <w:t>2</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4"/>
              <w:rPr>
                <w:sz w:val="20"/>
              </w:rPr>
            </w:pPr>
            <w:r>
              <w:rPr>
                <w:w w:val="99"/>
                <w:sz w:val="20"/>
              </w:rPr>
              <w:t>3</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3"/>
              <w:rPr>
                <w:sz w:val="20"/>
              </w:rPr>
            </w:pPr>
            <w:r>
              <w:rPr>
                <w:w w:val="99"/>
                <w:sz w:val="20"/>
              </w:rPr>
              <w:t>4</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3"/>
              <w:rPr>
                <w:b/>
                <w:sz w:val="20"/>
              </w:rPr>
            </w:pPr>
            <w:r>
              <w:rPr>
                <w:b/>
                <w:w w:val="99"/>
                <w:sz w:val="20"/>
              </w:rPr>
              <w:t>1</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2"/>
              <w:rPr>
                <w:b/>
                <w:sz w:val="20"/>
              </w:rPr>
            </w:pPr>
            <w:r>
              <w:rPr>
                <w:b/>
                <w:w w:val="99"/>
                <w:sz w:val="20"/>
              </w:rPr>
              <w:t>2</w:t>
            </w: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9"/>
              <w:rPr>
                <w:sz w:val="20"/>
              </w:rPr>
            </w:pPr>
            <w:r>
              <w:rPr>
                <w:w w:val="99"/>
                <w:sz w:val="20"/>
              </w:rPr>
              <w:t>3</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0"/>
              <w:rPr>
                <w:sz w:val="20"/>
              </w:rPr>
            </w:pPr>
            <w:r>
              <w:rPr>
                <w:w w:val="99"/>
                <w:sz w:val="20"/>
              </w:rPr>
              <w:t>4</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70"/>
              <w:rPr>
                <w:b/>
                <w:sz w:val="20"/>
              </w:rPr>
            </w:pPr>
            <w:r>
              <w:rPr>
                <w:b/>
                <w:w w:val="99"/>
                <w:sz w:val="20"/>
              </w:rPr>
              <w:t>1</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9"/>
              <w:rPr>
                <w:b/>
                <w:sz w:val="20"/>
              </w:rPr>
            </w:pPr>
            <w:r>
              <w:rPr>
                <w:b/>
                <w:w w:val="99"/>
                <w:sz w:val="20"/>
              </w:rPr>
              <w:t>2</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9"/>
              <w:rPr>
                <w:sz w:val="20"/>
              </w:rPr>
            </w:pPr>
            <w:r>
              <w:rPr>
                <w:w w:val="99"/>
                <w:sz w:val="20"/>
              </w:rPr>
              <w:t>3</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8"/>
              <w:rPr>
                <w:sz w:val="20"/>
              </w:rPr>
            </w:pPr>
            <w:r>
              <w:rPr>
                <w:w w:val="99"/>
                <w:sz w:val="20"/>
              </w:rPr>
              <w:t>4</w:t>
            </w: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6"/>
              <w:rPr>
                <w:b/>
                <w:sz w:val="20"/>
              </w:rPr>
            </w:pPr>
            <w:r>
              <w:rPr>
                <w:b/>
                <w:w w:val="99"/>
                <w:sz w:val="20"/>
              </w:rPr>
              <w:t>1</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7"/>
              <w:rPr>
                <w:b/>
                <w:sz w:val="20"/>
              </w:rPr>
            </w:pPr>
            <w:r>
              <w:rPr>
                <w:b/>
                <w:w w:val="99"/>
                <w:sz w:val="20"/>
              </w:rPr>
              <w:t>2</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6"/>
              <w:rPr>
                <w:sz w:val="20"/>
              </w:rPr>
            </w:pPr>
            <w:r>
              <w:rPr>
                <w:w w:val="99"/>
                <w:sz w:val="20"/>
              </w:rPr>
              <w:t>3</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6"/>
              <w:rPr>
                <w:sz w:val="20"/>
              </w:rPr>
            </w:pPr>
            <w:r>
              <w:rPr>
                <w:w w:val="99"/>
                <w:sz w:val="20"/>
              </w:rPr>
              <w:t>4</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5"/>
              <w:rPr>
                <w:sz w:val="20"/>
              </w:rPr>
            </w:pPr>
            <w:r>
              <w:rPr>
                <w:w w:val="99"/>
                <w:sz w:val="20"/>
              </w:rPr>
              <w:t>1</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5"/>
              <w:rPr>
                <w:sz w:val="20"/>
              </w:rPr>
            </w:pPr>
            <w:r>
              <w:rPr>
                <w:w w:val="99"/>
                <w:sz w:val="20"/>
              </w:rPr>
              <w:t>2</w:t>
            </w:r>
          </w:p>
        </w:tc>
        <w:tc>
          <w:tcPr>
            <w:tcW w:w="241"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2"/>
              <w:rPr>
                <w:sz w:val="20"/>
              </w:rPr>
            </w:pPr>
            <w:r>
              <w:rPr>
                <w:w w:val="99"/>
                <w:sz w:val="20"/>
              </w:rPr>
              <w:t>3</w:t>
            </w:r>
          </w:p>
        </w:tc>
        <w:tc>
          <w:tcPr>
            <w:tcW w:w="243" w:type="dxa"/>
            <w:tcBorders>
              <w:top w:val="single" w:sz="4" w:space="0" w:color="000000"/>
              <w:left w:val="single" w:sz="4" w:space="0" w:color="000000"/>
              <w:bottom w:val="single" w:sz="4" w:space="0" w:color="000000"/>
            </w:tcBorders>
          </w:tcPr>
          <w:p>
            <w:pPr>
              <w:pStyle w:val="TableParagraph"/>
              <w:spacing w:line="243" w:lineRule="exact"/>
              <w:ind w:left="63"/>
              <w:rPr>
                <w:sz w:val="20"/>
              </w:rPr>
            </w:pPr>
            <w:r>
              <w:rPr>
                <w:w w:val="99"/>
                <w:sz w:val="20"/>
              </w:rPr>
              <w:t>4</w:t>
            </w:r>
          </w:p>
        </w:tc>
      </w:tr>
      <w:tr>
        <w:trPr>
          <w:trHeight w:val="486" w:hRule="atLeast"/>
        </w:trPr>
        <w:tc>
          <w:tcPr>
            <w:tcW w:w="1236" w:type="dxa"/>
            <w:vMerge w:val="restart"/>
            <w:tcBorders>
              <w:top w:val="single" w:sz="4" w:space="0" w:color="000000"/>
              <w:bottom w:val="single" w:sz="4" w:space="0" w:color="000000"/>
              <w:right w:val="single" w:sz="4" w:space="0" w:color="000000"/>
            </w:tcBorders>
          </w:tcPr>
          <w:p>
            <w:pPr>
              <w:pStyle w:val="TableParagraph"/>
              <w:spacing w:line="243" w:lineRule="exact"/>
              <w:ind w:left="69"/>
              <w:rPr>
                <w:sz w:val="20"/>
              </w:rPr>
            </w:pPr>
            <w:r>
              <w:rPr>
                <w:sz w:val="20"/>
              </w:rPr>
              <w:t>R.1.</w:t>
            </w: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3" w:lineRule="exact"/>
              <w:ind w:left="74"/>
              <w:rPr>
                <w:sz w:val="20"/>
              </w:rPr>
            </w:pPr>
            <w:r>
              <w:rPr>
                <w:sz w:val="20"/>
              </w:rPr>
              <w:t>1.Entrenamiento</w:t>
            </w:r>
          </w:p>
          <w:p>
            <w:pPr>
              <w:pStyle w:val="TableParagraph"/>
              <w:spacing w:line="223" w:lineRule="exact"/>
              <w:ind w:left="74"/>
              <w:rPr>
                <w:sz w:val="20"/>
              </w:rPr>
            </w:pPr>
            <w:r>
              <w:rPr>
                <w:sz w:val="20"/>
              </w:rPr>
              <w:t>metodológico</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55"/>
              <w:rPr>
                <w:sz w:val="16"/>
              </w:rPr>
            </w:pPr>
            <w:r>
              <w:rPr>
                <w:sz w:val="16"/>
              </w:rPr>
              <w:t>1er trimestre año 1</w:t>
            </w:r>
          </w:p>
        </w:tc>
        <w:tc>
          <w:tcPr>
            <w:tcW w:w="240"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733"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before="1"/>
              <w:ind w:left="74" w:right="378"/>
              <w:rPr>
                <w:sz w:val="20"/>
              </w:rPr>
            </w:pPr>
            <w:r>
              <w:rPr>
                <w:sz w:val="20"/>
              </w:rPr>
              <w:t>2.Elaboración de Plan y programa</w:t>
            </w:r>
          </w:p>
          <w:p>
            <w:pPr>
              <w:pStyle w:val="TableParagraph"/>
              <w:spacing w:line="224" w:lineRule="exact"/>
              <w:ind w:left="74"/>
              <w:rPr>
                <w:sz w:val="20"/>
              </w:rPr>
            </w:pPr>
            <w:r>
              <w:rPr>
                <w:sz w:val="20"/>
              </w:rPr>
              <w:t>académico</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before="1"/>
              <w:ind w:left="72" w:right="303"/>
              <w:rPr>
                <w:sz w:val="16"/>
              </w:rPr>
            </w:pPr>
            <w:r>
              <w:rPr>
                <w:sz w:val="16"/>
              </w:rPr>
              <w:t>2do trimestre año 1</w:t>
            </w:r>
          </w:p>
        </w:tc>
        <w:tc>
          <w:tcPr>
            <w:tcW w:w="240"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390"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Pr>
                <w:sz w:val="20"/>
              </w:rPr>
            </w:pPr>
            <w:r>
              <w:rPr>
                <w:sz w:val="20"/>
              </w:rPr>
              <w:t>3.Aplicación de sistema de </w:t>
            </w:r>
            <w:r>
              <w:rPr>
                <w:w w:val="95"/>
                <w:sz w:val="20"/>
              </w:rPr>
              <w:t>evaluación/incentivo</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72"/>
              <w:rPr>
                <w:sz w:val="16"/>
              </w:rPr>
            </w:pPr>
            <w:r>
              <w:rPr>
                <w:sz w:val="16"/>
              </w:rPr>
              <w:t>3er trimestre</w:t>
            </w:r>
          </w:p>
          <w:p>
            <w:pPr>
              <w:pStyle w:val="TableParagraph"/>
              <w:spacing w:line="177" w:lineRule="exact"/>
              <w:ind w:left="72"/>
              <w:rPr>
                <w:sz w:val="16"/>
              </w:rPr>
            </w:pPr>
            <w:r>
              <w:rPr>
                <w:sz w:val="16"/>
              </w:rPr>
              <w:t>año 1</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585"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shd w:val="clear" w:color="auto" w:fill="E1EEDA"/>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93"/>
              <w:rPr>
                <w:sz w:val="16"/>
              </w:rPr>
            </w:pPr>
            <w:r>
              <w:rPr>
                <w:sz w:val="16"/>
              </w:rPr>
              <w:t>de 1er trimestre año 2 a ultimo c/</w:t>
            </w:r>
          </w:p>
          <w:p>
            <w:pPr>
              <w:pStyle w:val="TableParagraph"/>
              <w:spacing w:line="175" w:lineRule="exact"/>
              <w:ind w:left="72"/>
              <w:rPr>
                <w:sz w:val="16"/>
              </w:rPr>
            </w:pPr>
            <w:r>
              <w:rPr>
                <w:sz w:val="16"/>
              </w:rPr>
              <w:t>año 5</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ADAAAA"/>
          </w:tcPr>
          <w:p>
            <w:pPr>
              <w:pStyle w:val="TableParagraph"/>
              <w:rPr>
                <w:rFonts w:ascii="Times New Roman"/>
                <w:sz w:val="18"/>
              </w:rPr>
            </w:pPr>
          </w:p>
        </w:tc>
      </w:tr>
      <w:tr>
        <w:trPr>
          <w:trHeight w:val="731" w:hRule="atLeast"/>
        </w:trPr>
        <w:tc>
          <w:tcPr>
            <w:tcW w:w="1236" w:type="dxa"/>
            <w:vMerge w:val="restart"/>
            <w:tcBorders>
              <w:top w:val="single" w:sz="4" w:space="0" w:color="000000"/>
              <w:bottom w:val="single" w:sz="4" w:space="0" w:color="000000"/>
              <w:right w:val="single" w:sz="4" w:space="0" w:color="000000"/>
            </w:tcBorders>
          </w:tcPr>
          <w:p>
            <w:pPr>
              <w:pStyle w:val="TableParagraph"/>
              <w:spacing w:line="243" w:lineRule="exact"/>
              <w:ind w:left="69"/>
              <w:rPr>
                <w:sz w:val="20"/>
              </w:rPr>
            </w:pPr>
            <w:r>
              <w:rPr>
                <w:sz w:val="20"/>
              </w:rPr>
              <w:t>R.2.</w:t>
            </w: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Pr>
                <w:sz w:val="20"/>
              </w:rPr>
            </w:pPr>
            <w:r>
              <w:rPr>
                <w:sz w:val="20"/>
              </w:rPr>
              <w:t>4. </w:t>
            </w:r>
            <w:r>
              <w:rPr>
                <w:spacing w:val="-3"/>
                <w:sz w:val="20"/>
              </w:rPr>
              <w:t>Concertación </w:t>
            </w:r>
            <w:r>
              <w:rPr>
                <w:sz w:val="20"/>
              </w:rPr>
              <w:t>prioridades</w:t>
            </w:r>
          </w:p>
          <w:p>
            <w:pPr>
              <w:pStyle w:val="TableParagraph"/>
              <w:spacing w:line="223" w:lineRule="exact"/>
              <w:ind w:left="74"/>
              <w:rPr>
                <w:sz w:val="20"/>
              </w:rPr>
            </w:pPr>
            <w:r>
              <w:rPr>
                <w:sz w:val="20"/>
              </w:rPr>
              <w:t>productivas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83"/>
              <w:rPr>
                <w:sz w:val="16"/>
              </w:rPr>
            </w:pPr>
            <w:r>
              <w:rPr>
                <w:sz w:val="16"/>
              </w:rPr>
              <w:t>1er trimestre 1er año</w:t>
            </w:r>
          </w:p>
        </w:tc>
        <w:tc>
          <w:tcPr>
            <w:tcW w:w="240"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390"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E1EEDA"/>
          </w:tcPr>
          <w:p>
            <w:pPr>
              <w:pStyle w:val="TableParagraph"/>
              <w:tabs>
                <w:tab w:pos="452" w:val="left" w:leader="none"/>
              </w:tabs>
              <w:spacing w:before="1"/>
              <w:ind w:left="74" w:right="376"/>
              <w:rPr>
                <w:sz w:val="20"/>
              </w:rPr>
            </w:pPr>
            <w:r>
              <w:rPr>
                <w:sz w:val="20"/>
              </w:rPr>
              <w:t>5.</w:t>
              <w:tab/>
              <w:t>Rediseño en carreras</w:t>
            </w:r>
            <w:r>
              <w:rPr>
                <w:spacing w:val="-14"/>
                <w:sz w:val="20"/>
              </w:rPr>
              <w:t> </w:t>
            </w:r>
            <w:r>
              <w:rPr>
                <w:sz w:val="20"/>
              </w:rPr>
              <w:t>actuales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195" w:lineRule="exact" w:before="1"/>
              <w:ind w:left="72"/>
              <w:rPr>
                <w:sz w:val="16"/>
              </w:rPr>
            </w:pPr>
            <w:r>
              <w:rPr>
                <w:sz w:val="16"/>
              </w:rPr>
              <w:t>2do trimestre</w:t>
            </w:r>
          </w:p>
          <w:p>
            <w:pPr>
              <w:pStyle w:val="TableParagraph"/>
              <w:spacing w:line="175" w:lineRule="exact"/>
              <w:ind w:left="72"/>
              <w:rPr>
                <w:sz w:val="16"/>
              </w:rPr>
            </w:pPr>
            <w:r>
              <w:rPr>
                <w:sz w:val="16"/>
              </w:rPr>
              <w:t>año 1</w:t>
            </w:r>
          </w:p>
        </w:tc>
        <w:tc>
          <w:tcPr>
            <w:tcW w:w="240"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390"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shd w:val="clear" w:color="auto" w:fill="E1EEDA"/>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72"/>
              <w:rPr>
                <w:sz w:val="16"/>
              </w:rPr>
            </w:pPr>
            <w:r>
              <w:rPr>
                <w:sz w:val="16"/>
              </w:rPr>
              <w:t>4to trimestre año</w:t>
            </w:r>
          </w:p>
          <w:p>
            <w:pPr>
              <w:pStyle w:val="TableParagraph"/>
              <w:spacing w:line="175" w:lineRule="exact" w:before="1"/>
              <w:ind w:left="72"/>
              <w:rPr>
                <w:sz w:val="16"/>
              </w:rPr>
            </w:pPr>
            <w:r>
              <w:rPr>
                <w:sz w:val="16"/>
              </w:rPr>
              <w:t>de c/año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ADAAAA"/>
          </w:tcPr>
          <w:p>
            <w:pPr>
              <w:pStyle w:val="TableParagraph"/>
              <w:rPr>
                <w:rFonts w:ascii="Times New Roman"/>
                <w:sz w:val="18"/>
              </w:rPr>
            </w:pPr>
          </w:p>
        </w:tc>
      </w:tr>
      <w:tr>
        <w:trPr>
          <w:trHeight w:val="587"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Pr>
                <w:sz w:val="20"/>
              </w:rPr>
            </w:pPr>
            <w:r>
              <w:rPr>
                <w:sz w:val="20"/>
              </w:rPr>
              <w:t>6. Diseño e implementación de nuevas carreras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303"/>
              <w:rPr>
                <w:sz w:val="16"/>
              </w:rPr>
            </w:pPr>
            <w:r>
              <w:rPr>
                <w:sz w:val="16"/>
              </w:rPr>
              <w:t>2do trimestre año 2, 4to</w:t>
            </w:r>
          </w:p>
          <w:p>
            <w:pPr>
              <w:pStyle w:val="TableParagraph"/>
              <w:spacing w:line="178" w:lineRule="exact"/>
              <w:ind w:left="72"/>
              <w:rPr>
                <w:sz w:val="16"/>
              </w:rPr>
            </w:pPr>
            <w:r>
              <w:rPr>
                <w:sz w:val="16"/>
              </w:rPr>
              <w:t>trimestre 3er 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585"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shd w:val="clear" w:color="auto" w:fill="E1EEDA"/>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52"/>
              <w:rPr>
                <w:sz w:val="16"/>
              </w:rPr>
            </w:pPr>
            <w:r>
              <w:rPr>
                <w:sz w:val="16"/>
              </w:rPr>
              <w:t>4to trimestre año 2, 1er trimestre</w:t>
            </w:r>
          </w:p>
          <w:p>
            <w:pPr>
              <w:pStyle w:val="TableParagraph"/>
              <w:spacing w:line="176" w:lineRule="exact"/>
              <w:ind w:left="72"/>
              <w:rPr>
                <w:sz w:val="16"/>
              </w:rPr>
            </w:pPr>
            <w:r>
              <w:rPr>
                <w:sz w:val="16"/>
              </w:rPr>
              <w:t>4to 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D0CECE"/>
          </w:tcPr>
          <w:p>
            <w:pPr>
              <w:pStyle w:val="TableParagraph"/>
              <w:rPr>
                <w:rFonts w:ascii="Times New Roman"/>
                <w:sz w:val="18"/>
              </w:rPr>
            </w:pPr>
          </w:p>
        </w:tc>
      </w:tr>
      <w:tr>
        <w:trPr>
          <w:trHeight w:val="391"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ight="188"/>
              <w:rPr>
                <w:sz w:val="20"/>
              </w:rPr>
            </w:pPr>
            <w:r>
              <w:rPr>
                <w:sz w:val="20"/>
              </w:rPr>
              <w:t>7. Implementación del post grado</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72"/>
              <w:rPr>
                <w:sz w:val="16"/>
              </w:rPr>
            </w:pPr>
            <w:r>
              <w:rPr>
                <w:sz w:val="16"/>
              </w:rPr>
              <w:t>4to trimestre año</w:t>
            </w:r>
          </w:p>
          <w:p>
            <w:pPr>
              <w:pStyle w:val="TableParagraph"/>
              <w:spacing w:line="177" w:lineRule="exact"/>
              <w:ind w:left="72"/>
              <w:rPr>
                <w:sz w:val="16"/>
              </w:rPr>
            </w:pPr>
            <w:r>
              <w:rPr>
                <w:w w:val="100"/>
                <w:sz w:val="16"/>
              </w:rPr>
              <w:t>1</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390" w:hRule="atLeast"/>
        </w:trPr>
        <w:tc>
          <w:tcPr>
            <w:tcW w:w="1236" w:type="dxa"/>
            <w:vMerge/>
            <w:tcBorders>
              <w:top w:val="nil"/>
              <w:bottom w:val="single" w:sz="4" w:space="0" w:color="000000"/>
              <w:right w:val="single" w:sz="4" w:space="0" w:color="000000"/>
            </w:tcBorders>
          </w:tcPr>
          <w:p>
            <w:pPr>
              <w:rPr>
                <w:sz w:val="2"/>
                <w:szCs w:val="2"/>
              </w:rPr>
            </w:pPr>
          </w:p>
        </w:tc>
        <w:tc>
          <w:tcPr>
            <w:tcW w:w="1841" w:type="dxa"/>
            <w:vMerge/>
            <w:tcBorders>
              <w:top w:val="nil"/>
              <w:left w:val="single" w:sz="4" w:space="0" w:color="000000"/>
              <w:bottom w:val="single" w:sz="4" w:space="0" w:color="000000"/>
              <w:right w:val="single" w:sz="4" w:space="0" w:color="000000"/>
            </w:tcBorders>
            <w:shd w:val="clear" w:color="auto" w:fill="E1EEDA"/>
          </w:tcPr>
          <w:p>
            <w:pPr>
              <w:rPr>
                <w:sz w:val="2"/>
                <w:szCs w:val="2"/>
              </w:rPr>
            </w:pP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72"/>
              <w:rPr>
                <w:sz w:val="16"/>
              </w:rPr>
            </w:pPr>
            <w:r>
              <w:rPr>
                <w:sz w:val="16"/>
              </w:rPr>
              <w:t>1er trimestre 2do</w:t>
            </w:r>
          </w:p>
          <w:p>
            <w:pPr>
              <w:pStyle w:val="TableParagraph"/>
              <w:spacing w:line="177" w:lineRule="exact"/>
              <w:ind w:left="72"/>
              <w:rPr>
                <w:sz w:val="16"/>
              </w:rPr>
            </w:pPr>
            <w:r>
              <w:rPr>
                <w:sz w:val="16"/>
              </w:rPr>
              <w:t>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D0CECE"/>
          </w:tcPr>
          <w:p>
            <w:pPr>
              <w:pStyle w:val="TableParagraph"/>
              <w:rPr>
                <w:rFonts w:ascii="Times New Roman"/>
                <w:sz w:val="18"/>
              </w:rPr>
            </w:pPr>
          </w:p>
        </w:tc>
      </w:tr>
      <w:tr>
        <w:trPr>
          <w:trHeight w:val="486" w:hRule="atLeast"/>
        </w:trPr>
        <w:tc>
          <w:tcPr>
            <w:tcW w:w="1236" w:type="dxa"/>
            <w:vMerge w:val="restart"/>
            <w:tcBorders>
              <w:top w:val="single" w:sz="4" w:space="0" w:color="000000"/>
              <w:bottom w:val="single" w:sz="4" w:space="0" w:color="000000"/>
              <w:right w:val="single" w:sz="4" w:space="0" w:color="000000"/>
            </w:tcBorders>
          </w:tcPr>
          <w:p>
            <w:pPr>
              <w:pStyle w:val="TableParagraph"/>
              <w:spacing w:line="243" w:lineRule="exact"/>
              <w:ind w:left="69"/>
              <w:rPr>
                <w:sz w:val="20"/>
              </w:rPr>
            </w:pPr>
            <w:r>
              <w:rPr>
                <w:sz w:val="20"/>
              </w:rPr>
              <w:t>R.3.</w:t>
            </w: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3" w:lineRule="exact"/>
              <w:ind w:left="74"/>
              <w:rPr>
                <w:sz w:val="20"/>
              </w:rPr>
            </w:pPr>
            <w:r>
              <w:rPr>
                <w:sz w:val="20"/>
              </w:rPr>
              <w:t>8. Dirección de</w:t>
            </w:r>
          </w:p>
          <w:p>
            <w:pPr>
              <w:pStyle w:val="TableParagraph"/>
              <w:spacing w:line="223" w:lineRule="exact"/>
              <w:ind w:left="74"/>
              <w:rPr>
                <w:sz w:val="20"/>
              </w:rPr>
            </w:pPr>
            <w:r>
              <w:rPr>
                <w:sz w:val="20"/>
              </w:rPr>
              <w:t>Investigación</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55"/>
              <w:rPr>
                <w:sz w:val="16"/>
              </w:rPr>
            </w:pPr>
            <w:r>
              <w:rPr>
                <w:sz w:val="16"/>
              </w:rPr>
              <w:t>1er trimestre año 1</w:t>
            </w:r>
          </w:p>
        </w:tc>
        <w:tc>
          <w:tcPr>
            <w:tcW w:w="240"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570"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Pr>
                <w:sz w:val="20"/>
              </w:rPr>
            </w:pPr>
            <w:r>
              <w:rPr>
                <w:sz w:val="20"/>
              </w:rPr>
              <w:t>9. Metodología de investigación</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303"/>
              <w:rPr>
                <w:sz w:val="16"/>
              </w:rPr>
            </w:pPr>
            <w:r>
              <w:rPr>
                <w:sz w:val="16"/>
              </w:rPr>
              <w:t>2do trimestre año 1</w:t>
            </w:r>
          </w:p>
        </w:tc>
        <w:tc>
          <w:tcPr>
            <w:tcW w:w="240"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486"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2" w:lineRule="exact"/>
              <w:ind w:left="74"/>
              <w:rPr>
                <w:sz w:val="20"/>
              </w:rPr>
            </w:pPr>
            <w:r>
              <w:rPr>
                <w:sz w:val="20"/>
              </w:rPr>
              <w:t>10. Plan quinquenal</w:t>
            </w:r>
          </w:p>
          <w:p>
            <w:pPr>
              <w:pStyle w:val="TableParagraph"/>
              <w:spacing w:line="225" w:lineRule="exact"/>
              <w:ind w:left="74"/>
              <w:rPr>
                <w:sz w:val="20"/>
              </w:rPr>
            </w:pPr>
            <w:r>
              <w:rPr>
                <w:sz w:val="20"/>
              </w:rPr>
              <w:t>investigación</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55"/>
              <w:rPr>
                <w:sz w:val="16"/>
              </w:rPr>
            </w:pPr>
            <w:r>
              <w:rPr>
                <w:sz w:val="16"/>
              </w:rPr>
              <w:t>1er trimestre año 1 y 1ro de c/año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489"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3" w:lineRule="exact"/>
              <w:ind w:left="74"/>
              <w:rPr>
                <w:sz w:val="20"/>
              </w:rPr>
            </w:pPr>
            <w:r>
              <w:rPr>
                <w:sz w:val="20"/>
              </w:rPr>
              <w:t>11. Investigaciones</w:t>
            </w:r>
          </w:p>
          <w:p>
            <w:pPr>
              <w:pStyle w:val="TableParagraph"/>
              <w:spacing w:line="225" w:lineRule="exact"/>
              <w:ind w:left="74"/>
              <w:rPr>
                <w:sz w:val="20"/>
              </w:rPr>
            </w:pPr>
            <w:r>
              <w:rPr>
                <w:sz w:val="20"/>
              </w:rPr>
              <w:t>aplicadas</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Pr>
                <w:sz w:val="16"/>
              </w:rPr>
            </w:pPr>
            <w:r>
              <w:rPr>
                <w:sz w:val="16"/>
              </w:rPr>
              <w:t>4to trimestre c/año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ADAAAA"/>
          </w:tcPr>
          <w:p>
            <w:pPr>
              <w:pStyle w:val="TableParagraph"/>
              <w:rPr>
                <w:rFonts w:ascii="Times New Roman"/>
                <w:sz w:val="18"/>
              </w:rPr>
            </w:pPr>
          </w:p>
        </w:tc>
      </w:tr>
      <w:tr>
        <w:trPr>
          <w:trHeight w:val="585"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ight="188"/>
              <w:rPr>
                <w:sz w:val="20"/>
              </w:rPr>
            </w:pPr>
            <w:r>
              <w:rPr>
                <w:sz w:val="20"/>
              </w:rPr>
              <w:t>12. Red de alianzas de investigación</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389"/>
              <w:rPr>
                <w:sz w:val="16"/>
              </w:rPr>
            </w:pPr>
            <w:r>
              <w:rPr>
                <w:sz w:val="16"/>
              </w:rPr>
              <w:t>Actividad permanente</w:t>
            </w:r>
          </w:p>
          <w:p>
            <w:pPr>
              <w:pStyle w:val="TableParagraph"/>
              <w:spacing w:line="176" w:lineRule="exact"/>
              <w:ind w:left="72"/>
              <w:rPr>
                <w:sz w:val="16"/>
              </w:rPr>
            </w:pPr>
            <w:r>
              <w:rPr>
                <w:sz w:val="16"/>
              </w:rPr>
              <w:t>c/año</w:t>
            </w:r>
          </w:p>
        </w:tc>
        <w:tc>
          <w:tcPr>
            <w:tcW w:w="240"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ADAAAA"/>
          </w:tcPr>
          <w:p>
            <w:pPr>
              <w:pStyle w:val="TableParagraph"/>
              <w:rPr>
                <w:rFonts w:ascii="Times New Roman"/>
                <w:sz w:val="18"/>
              </w:rPr>
            </w:pPr>
          </w:p>
        </w:tc>
      </w:tr>
      <w:tr>
        <w:trPr>
          <w:trHeight w:val="731" w:hRule="atLeast"/>
        </w:trPr>
        <w:tc>
          <w:tcPr>
            <w:tcW w:w="1236" w:type="dxa"/>
            <w:vMerge w:val="restart"/>
            <w:tcBorders>
              <w:top w:val="single" w:sz="4" w:space="0" w:color="000000"/>
              <w:bottom w:val="single" w:sz="4" w:space="0" w:color="000000"/>
              <w:right w:val="single" w:sz="4" w:space="0" w:color="000000"/>
            </w:tcBorders>
          </w:tcPr>
          <w:p>
            <w:pPr>
              <w:pStyle w:val="TableParagraph"/>
              <w:spacing w:line="243" w:lineRule="exact"/>
              <w:ind w:left="69"/>
              <w:rPr>
                <w:sz w:val="20"/>
              </w:rPr>
            </w:pPr>
            <w:r>
              <w:rPr>
                <w:sz w:val="20"/>
              </w:rPr>
              <w:t>R.4</w:t>
            </w: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ind w:left="74" w:right="631"/>
              <w:rPr>
                <w:sz w:val="20"/>
              </w:rPr>
            </w:pPr>
            <w:r>
              <w:rPr>
                <w:sz w:val="20"/>
              </w:rPr>
              <w:t>13. Diseño de Complejo</w:t>
            </w:r>
          </w:p>
          <w:p>
            <w:pPr>
              <w:pStyle w:val="TableParagraph"/>
              <w:spacing w:line="223" w:lineRule="exact"/>
              <w:ind w:left="74"/>
              <w:rPr>
                <w:sz w:val="20"/>
              </w:rPr>
            </w:pPr>
            <w:r>
              <w:rPr>
                <w:sz w:val="20"/>
              </w:rPr>
              <w:t>Multimodal</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55"/>
              <w:rPr>
                <w:sz w:val="16"/>
              </w:rPr>
            </w:pPr>
            <w:r>
              <w:rPr>
                <w:sz w:val="16"/>
              </w:rPr>
              <w:t>1er trimestre año 1</w:t>
            </w:r>
          </w:p>
        </w:tc>
        <w:tc>
          <w:tcPr>
            <w:tcW w:w="240"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489"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3" w:lineRule="exact" w:before="1"/>
              <w:ind w:left="74"/>
              <w:rPr>
                <w:sz w:val="20"/>
              </w:rPr>
            </w:pPr>
            <w:r>
              <w:rPr>
                <w:sz w:val="20"/>
              </w:rPr>
              <w:t>14. infraestructuras</w:t>
            </w:r>
          </w:p>
          <w:p>
            <w:pPr>
              <w:pStyle w:val="TableParagraph"/>
              <w:spacing w:line="225" w:lineRule="exact"/>
              <w:ind w:left="74"/>
              <w:rPr>
                <w:sz w:val="20"/>
              </w:rPr>
            </w:pPr>
            <w:r>
              <w:rPr>
                <w:sz w:val="20"/>
              </w:rPr>
              <w:t>del Multimodal</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before="1"/>
              <w:ind w:left="72" w:right="55"/>
              <w:rPr>
                <w:sz w:val="16"/>
              </w:rPr>
            </w:pPr>
            <w:r>
              <w:rPr>
                <w:sz w:val="16"/>
              </w:rPr>
              <w:t>3er trimestre c/año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489"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3" w:lineRule="exact"/>
              <w:ind w:left="74"/>
              <w:rPr>
                <w:sz w:val="20"/>
              </w:rPr>
            </w:pPr>
            <w:r>
              <w:rPr>
                <w:sz w:val="20"/>
              </w:rPr>
              <w:t>15. Generación de</w:t>
            </w:r>
          </w:p>
          <w:p>
            <w:pPr>
              <w:pStyle w:val="TableParagraph"/>
              <w:spacing w:line="225" w:lineRule="exact"/>
              <w:ind w:left="74"/>
              <w:rPr>
                <w:sz w:val="20"/>
              </w:rPr>
            </w:pPr>
            <w:r>
              <w:rPr>
                <w:sz w:val="20"/>
              </w:rPr>
              <w:t>base informativa</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Pr>
                <w:sz w:val="16"/>
              </w:rPr>
            </w:pPr>
            <w:r>
              <w:rPr>
                <w:sz w:val="16"/>
              </w:rPr>
              <w:t>4to trimestre c/año</w:t>
            </w:r>
          </w:p>
        </w:tc>
        <w:tc>
          <w:tcPr>
            <w:tcW w:w="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ADAAAA"/>
          </w:tcPr>
          <w:p>
            <w:pPr>
              <w:pStyle w:val="TableParagraph"/>
              <w:rPr>
                <w:rFonts w:ascii="Times New Roman"/>
                <w:sz w:val="18"/>
              </w:rPr>
            </w:pPr>
          </w:p>
        </w:tc>
      </w:tr>
      <w:tr>
        <w:trPr>
          <w:trHeight w:val="486" w:hRule="atLeast"/>
        </w:trPr>
        <w:tc>
          <w:tcPr>
            <w:tcW w:w="1236" w:type="dxa"/>
            <w:vMerge/>
            <w:tcBorders>
              <w:top w:val="nil"/>
              <w:bottom w:val="single" w:sz="4" w:space="0" w:color="000000"/>
              <w:right w:val="single" w:sz="4" w:space="0" w:color="000000"/>
            </w:tcBorders>
          </w:tcPr>
          <w:p>
            <w:pPr>
              <w:rPr>
                <w:sz w:val="2"/>
                <w:szCs w:val="2"/>
              </w:rPr>
            </w:pPr>
          </w:p>
        </w:tc>
        <w:tc>
          <w:tcPr>
            <w:tcW w:w="1841" w:type="dxa"/>
            <w:tcBorders>
              <w:top w:val="single" w:sz="4" w:space="0" w:color="000000"/>
              <w:left w:val="single" w:sz="4" w:space="0" w:color="000000"/>
              <w:bottom w:val="single" w:sz="4" w:space="0" w:color="000000"/>
              <w:right w:val="single" w:sz="4" w:space="0" w:color="000000"/>
            </w:tcBorders>
            <w:shd w:val="clear" w:color="auto" w:fill="E1EEDA"/>
          </w:tcPr>
          <w:p>
            <w:pPr>
              <w:pStyle w:val="TableParagraph"/>
              <w:spacing w:line="243" w:lineRule="exact"/>
              <w:ind w:left="74"/>
              <w:rPr>
                <w:sz w:val="20"/>
              </w:rPr>
            </w:pPr>
            <w:r>
              <w:rPr>
                <w:sz w:val="20"/>
              </w:rPr>
              <w:t>16. Circulación de</w:t>
            </w:r>
          </w:p>
          <w:p>
            <w:pPr>
              <w:pStyle w:val="TableParagraph"/>
              <w:spacing w:line="223" w:lineRule="exact"/>
              <w:ind w:left="74"/>
              <w:rPr>
                <w:sz w:val="20"/>
              </w:rPr>
            </w:pPr>
            <w:r>
              <w:rPr>
                <w:sz w:val="20"/>
              </w:rPr>
              <w:t>información</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ind w:left="72" w:right="267" w:firstLine="36"/>
              <w:rPr>
                <w:sz w:val="16"/>
              </w:rPr>
            </w:pPr>
            <w:r>
              <w:rPr>
                <w:sz w:val="16"/>
              </w:rPr>
              <w:t>2do trimestre c/año</w:t>
            </w:r>
          </w:p>
        </w:tc>
        <w:tc>
          <w:tcPr>
            <w:tcW w:w="240"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right w:val="single" w:sz="4" w:space="0" w:color="000000"/>
            </w:tcBorders>
            <w:shd w:val="clear" w:color="auto" w:fill="ADAAAA"/>
          </w:tcPr>
          <w:p>
            <w:pPr>
              <w:pStyle w:val="TableParagraph"/>
              <w:rPr>
                <w:rFonts w:ascii="Times New Roman"/>
                <w:sz w:val="18"/>
              </w:rPr>
            </w:pPr>
          </w:p>
        </w:tc>
        <w:tc>
          <w:tcPr>
            <w:tcW w:w="241" w:type="dxa"/>
            <w:tcBorders>
              <w:top w:val="single" w:sz="4" w:space="0" w:color="000000"/>
              <w:left w:val="single" w:sz="4" w:space="0" w:color="000000"/>
              <w:bottom w:val="single" w:sz="4" w:space="0" w:color="000000"/>
              <w:right w:val="single" w:sz="4" w:space="0" w:color="000000"/>
            </w:tcBorders>
            <w:shd w:val="clear" w:color="auto" w:fill="D0CECE"/>
          </w:tcPr>
          <w:p>
            <w:pPr>
              <w:pStyle w:val="TableParagraph"/>
              <w:rPr>
                <w:rFonts w:ascii="Times New Roman"/>
                <w:sz w:val="18"/>
              </w:rPr>
            </w:pPr>
          </w:p>
        </w:tc>
        <w:tc>
          <w:tcPr>
            <w:tcW w:w="243" w:type="dxa"/>
            <w:tcBorders>
              <w:top w:val="single" w:sz="4" w:space="0" w:color="000000"/>
              <w:left w:val="single" w:sz="4" w:space="0" w:color="000000"/>
              <w:bottom w:val="single" w:sz="4" w:space="0" w:color="000000"/>
            </w:tcBorders>
            <w:shd w:val="clear" w:color="auto" w:fill="D0CECE"/>
          </w:tcPr>
          <w:p>
            <w:pPr>
              <w:pStyle w:val="TableParagraph"/>
              <w:rPr>
                <w:rFonts w:ascii="Times New Roman"/>
                <w:sz w:val="18"/>
              </w:rPr>
            </w:pPr>
          </w:p>
        </w:tc>
      </w:tr>
    </w:tbl>
    <w:p>
      <w:pPr>
        <w:spacing w:after="0"/>
        <w:rPr>
          <w:rFonts w:ascii="Times New Roman"/>
          <w:sz w:val="18"/>
        </w:rPr>
        <w:sectPr>
          <w:pgSz w:w="11910" w:h="16840"/>
          <w:pgMar w:header="0" w:footer="922" w:top="1580" w:bottom="1200" w:left="620" w:right="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2175"/>
        <w:gridCol w:w="1135"/>
        <w:gridCol w:w="237"/>
        <w:gridCol w:w="237"/>
        <w:gridCol w:w="237"/>
        <w:gridCol w:w="235"/>
        <w:gridCol w:w="237"/>
        <w:gridCol w:w="237"/>
        <w:gridCol w:w="235"/>
        <w:gridCol w:w="235"/>
        <w:gridCol w:w="237"/>
        <w:gridCol w:w="235"/>
        <w:gridCol w:w="235"/>
        <w:gridCol w:w="237"/>
        <w:gridCol w:w="235"/>
        <w:gridCol w:w="234"/>
        <w:gridCol w:w="236"/>
        <w:gridCol w:w="234"/>
        <w:gridCol w:w="234"/>
        <w:gridCol w:w="236"/>
        <w:gridCol w:w="234"/>
        <w:gridCol w:w="234"/>
      </w:tblGrid>
      <w:tr>
        <w:trPr>
          <w:trHeight w:val="422" w:hRule="atLeast"/>
        </w:trPr>
        <w:tc>
          <w:tcPr>
            <w:tcW w:w="4486" w:type="dxa"/>
            <w:gridSpan w:val="3"/>
            <w:tcBorders>
              <w:left w:val="single" w:sz="8" w:space="0" w:color="000000"/>
            </w:tcBorders>
            <w:shd w:val="clear" w:color="auto" w:fill="FFFF00"/>
          </w:tcPr>
          <w:p>
            <w:pPr>
              <w:pStyle w:val="TableParagraph"/>
              <w:spacing w:before="1"/>
              <w:ind w:left="69"/>
              <w:rPr>
                <w:b/>
                <w:sz w:val="20"/>
              </w:rPr>
            </w:pPr>
            <w:r>
              <w:rPr>
                <w:b/>
                <w:sz w:val="20"/>
              </w:rPr>
              <w:t>DIMENSION ATIY</w:t>
            </w:r>
          </w:p>
        </w:tc>
        <w:tc>
          <w:tcPr>
            <w:tcW w:w="946" w:type="dxa"/>
            <w:gridSpan w:val="4"/>
            <w:shd w:val="clear" w:color="auto" w:fill="6F2F9F"/>
          </w:tcPr>
          <w:p>
            <w:pPr>
              <w:pStyle w:val="TableParagraph"/>
              <w:spacing w:before="1"/>
              <w:ind w:left="251"/>
              <w:rPr>
                <w:sz w:val="20"/>
              </w:rPr>
            </w:pPr>
            <w:r>
              <w:rPr>
                <w:sz w:val="20"/>
              </w:rPr>
              <w:t>año 1</w:t>
            </w:r>
          </w:p>
        </w:tc>
        <w:tc>
          <w:tcPr>
            <w:tcW w:w="944" w:type="dxa"/>
            <w:gridSpan w:val="4"/>
            <w:shd w:val="clear" w:color="auto" w:fill="C55811"/>
          </w:tcPr>
          <w:p>
            <w:pPr>
              <w:pStyle w:val="TableParagraph"/>
              <w:spacing w:before="1"/>
              <w:ind w:left="251"/>
              <w:rPr>
                <w:sz w:val="20"/>
              </w:rPr>
            </w:pPr>
            <w:r>
              <w:rPr>
                <w:sz w:val="20"/>
              </w:rPr>
              <w:t>año 2</w:t>
            </w:r>
          </w:p>
        </w:tc>
        <w:tc>
          <w:tcPr>
            <w:tcW w:w="944" w:type="dxa"/>
            <w:gridSpan w:val="4"/>
          </w:tcPr>
          <w:p>
            <w:pPr>
              <w:pStyle w:val="TableParagraph"/>
              <w:spacing w:before="1"/>
              <w:ind w:left="253"/>
              <w:rPr>
                <w:sz w:val="20"/>
              </w:rPr>
            </w:pPr>
            <w:r>
              <w:rPr>
                <w:sz w:val="20"/>
              </w:rPr>
              <w:t>año 3</w:t>
            </w:r>
          </w:p>
        </w:tc>
        <w:tc>
          <w:tcPr>
            <w:tcW w:w="939" w:type="dxa"/>
            <w:gridSpan w:val="4"/>
            <w:shd w:val="clear" w:color="auto" w:fill="66FF33"/>
          </w:tcPr>
          <w:p>
            <w:pPr>
              <w:pStyle w:val="TableParagraph"/>
              <w:spacing w:before="1"/>
              <w:ind w:left="253"/>
              <w:rPr>
                <w:sz w:val="20"/>
              </w:rPr>
            </w:pPr>
            <w:r>
              <w:rPr>
                <w:sz w:val="20"/>
              </w:rPr>
              <w:t>año 4</w:t>
            </w:r>
          </w:p>
        </w:tc>
        <w:tc>
          <w:tcPr>
            <w:tcW w:w="938" w:type="dxa"/>
            <w:gridSpan w:val="4"/>
            <w:tcBorders>
              <w:right w:val="single" w:sz="8" w:space="0" w:color="000000"/>
            </w:tcBorders>
            <w:shd w:val="clear" w:color="auto" w:fill="FF3300"/>
          </w:tcPr>
          <w:p>
            <w:pPr>
              <w:pStyle w:val="TableParagraph"/>
              <w:spacing w:before="1"/>
              <w:ind w:left="259"/>
              <w:rPr>
                <w:sz w:val="20"/>
              </w:rPr>
            </w:pPr>
            <w:r>
              <w:rPr>
                <w:sz w:val="20"/>
              </w:rPr>
              <w:t>año 5</w:t>
            </w:r>
          </w:p>
        </w:tc>
      </w:tr>
      <w:tr>
        <w:trPr>
          <w:trHeight w:val="489" w:hRule="atLeast"/>
        </w:trPr>
        <w:tc>
          <w:tcPr>
            <w:tcW w:w="1176" w:type="dxa"/>
            <w:tcBorders>
              <w:left w:val="single" w:sz="8" w:space="0" w:color="000000"/>
            </w:tcBorders>
            <w:shd w:val="clear" w:color="auto" w:fill="FFFF00"/>
          </w:tcPr>
          <w:p>
            <w:pPr>
              <w:pStyle w:val="TableParagraph"/>
              <w:spacing w:line="243" w:lineRule="exact"/>
              <w:ind w:left="69"/>
              <w:rPr>
                <w:b/>
                <w:sz w:val="20"/>
              </w:rPr>
            </w:pPr>
            <w:r>
              <w:rPr>
                <w:b/>
                <w:sz w:val="20"/>
              </w:rPr>
              <w:t>RESULTADO</w:t>
            </w:r>
          </w:p>
          <w:p>
            <w:pPr>
              <w:pStyle w:val="TableParagraph"/>
              <w:spacing w:line="225" w:lineRule="exact"/>
              <w:ind w:left="69"/>
              <w:rPr>
                <w:b/>
                <w:sz w:val="20"/>
              </w:rPr>
            </w:pPr>
            <w:r>
              <w:rPr>
                <w:b/>
                <w:w w:val="99"/>
                <w:sz w:val="20"/>
              </w:rPr>
              <w:t>S</w:t>
            </w:r>
          </w:p>
        </w:tc>
        <w:tc>
          <w:tcPr>
            <w:tcW w:w="2175" w:type="dxa"/>
            <w:shd w:val="clear" w:color="auto" w:fill="FFFF00"/>
          </w:tcPr>
          <w:p>
            <w:pPr>
              <w:pStyle w:val="TableParagraph"/>
              <w:spacing w:line="243" w:lineRule="exact"/>
              <w:ind w:left="74"/>
              <w:rPr>
                <w:b/>
                <w:sz w:val="20"/>
              </w:rPr>
            </w:pPr>
            <w:r>
              <w:rPr>
                <w:b/>
                <w:sz w:val="20"/>
              </w:rPr>
              <w:t>ACTIVIDADES</w:t>
            </w:r>
          </w:p>
        </w:tc>
        <w:tc>
          <w:tcPr>
            <w:tcW w:w="1135" w:type="dxa"/>
            <w:shd w:val="clear" w:color="auto" w:fill="FFFF00"/>
          </w:tcPr>
          <w:p>
            <w:pPr>
              <w:pStyle w:val="TableParagraph"/>
              <w:spacing w:line="243" w:lineRule="exact"/>
              <w:ind w:left="74"/>
              <w:rPr>
                <w:b/>
                <w:sz w:val="20"/>
              </w:rPr>
            </w:pPr>
            <w:r>
              <w:rPr>
                <w:b/>
                <w:sz w:val="20"/>
              </w:rPr>
              <w:t>verificación</w:t>
            </w:r>
          </w:p>
        </w:tc>
        <w:tc>
          <w:tcPr>
            <w:tcW w:w="237" w:type="dxa"/>
          </w:tcPr>
          <w:p>
            <w:pPr>
              <w:pStyle w:val="TableParagraph"/>
              <w:spacing w:line="243" w:lineRule="exact"/>
              <w:ind w:left="74"/>
              <w:rPr>
                <w:b/>
                <w:sz w:val="20"/>
              </w:rPr>
            </w:pPr>
            <w:r>
              <w:rPr>
                <w:b/>
                <w:w w:val="99"/>
                <w:sz w:val="20"/>
              </w:rPr>
              <w:t>1</w:t>
            </w:r>
          </w:p>
        </w:tc>
        <w:tc>
          <w:tcPr>
            <w:tcW w:w="237" w:type="dxa"/>
          </w:tcPr>
          <w:p>
            <w:pPr>
              <w:pStyle w:val="TableParagraph"/>
              <w:spacing w:line="243" w:lineRule="exact"/>
              <w:ind w:left="75"/>
              <w:rPr>
                <w:b/>
                <w:sz w:val="20"/>
              </w:rPr>
            </w:pPr>
            <w:r>
              <w:rPr>
                <w:b/>
                <w:w w:val="99"/>
                <w:sz w:val="20"/>
              </w:rPr>
              <w:t>2</w:t>
            </w:r>
          </w:p>
        </w:tc>
        <w:tc>
          <w:tcPr>
            <w:tcW w:w="237" w:type="dxa"/>
          </w:tcPr>
          <w:p>
            <w:pPr>
              <w:pStyle w:val="TableParagraph"/>
              <w:spacing w:line="243" w:lineRule="exact"/>
              <w:ind w:left="75"/>
              <w:rPr>
                <w:sz w:val="20"/>
              </w:rPr>
            </w:pPr>
            <w:r>
              <w:rPr>
                <w:w w:val="99"/>
                <w:sz w:val="20"/>
              </w:rPr>
              <w:t>3</w:t>
            </w:r>
          </w:p>
        </w:tc>
        <w:tc>
          <w:tcPr>
            <w:tcW w:w="235" w:type="dxa"/>
          </w:tcPr>
          <w:p>
            <w:pPr>
              <w:pStyle w:val="TableParagraph"/>
              <w:spacing w:line="243" w:lineRule="exact"/>
              <w:ind w:left="76"/>
              <w:rPr>
                <w:sz w:val="20"/>
              </w:rPr>
            </w:pPr>
            <w:r>
              <w:rPr>
                <w:w w:val="99"/>
                <w:sz w:val="20"/>
              </w:rPr>
              <w:t>4</w:t>
            </w:r>
          </w:p>
        </w:tc>
        <w:tc>
          <w:tcPr>
            <w:tcW w:w="237" w:type="dxa"/>
          </w:tcPr>
          <w:p>
            <w:pPr>
              <w:pStyle w:val="TableParagraph"/>
              <w:spacing w:line="243" w:lineRule="exact"/>
              <w:ind w:left="76"/>
              <w:rPr>
                <w:b/>
                <w:sz w:val="20"/>
              </w:rPr>
            </w:pPr>
            <w:r>
              <w:rPr>
                <w:b/>
                <w:w w:val="99"/>
                <w:sz w:val="20"/>
              </w:rPr>
              <w:t>1</w:t>
            </w:r>
          </w:p>
        </w:tc>
        <w:tc>
          <w:tcPr>
            <w:tcW w:w="237" w:type="dxa"/>
          </w:tcPr>
          <w:p>
            <w:pPr>
              <w:pStyle w:val="TableParagraph"/>
              <w:spacing w:line="243" w:lineRule="exact"/>
              <w:ind w:left="77"/>
              <w:rPr>
                <w:b/>
                <w:sz w:val="20"/>
              </w:rPr>
            </w:pPr>
            <w:r>
              <w:rPr>
                <w:b/>
                <w:w w:val="99"/>
                <w:sz w:val="20"/>
              </w:rPr>
              <w:t>2</w:t>
            </w:r>
          </w:p>
        </w:tc>
        <w:tc>
          <w:tcPr>
            <w:tcW w:w="235" w:type="dxa"/>
          </w:tcPr>
          <w:p>
            <w:pPr>
              <w:pStyle w:val="TableParagraph"/>
              <w:spacing w:line="243" w:lineRule="exact"/>
              <w:ind w:left="75"/>
              <w:rPr>
                <w:sz w:val="20"/>
              </w:rPr>
            </w:pPr>
            <w:r>
              <w:rPr>
                <w:w w:val="99"/>
                <w:sz w:val="20"/>
              </w:rPr>
              <w:t>3</w:t>
            </w:r>
          </w:p>
        </w:tc>
        <w:tc>
          <w:tcPr>
            <w:tcW w:w="235" w:type="dxa"/>
          </w:tcPr>
          <w:p>
            <w:pPr>
              <w:pStyle w:val="TableParagraph"/>
              <w:spacing w:line="243" w:lineRule="exact"/>
              <w:ind w:left="78"/>
              <w:rPr>
                <w:sz w:val="20"/>
              </w:rPr>
            </w:pPr>
            <w:r>
              <w:rPr>
                <w:w w:val="99"/>
                <w:sz w:val="20"/>
              </w:rPr>
              <w:t>4</w:t>
            </w:r>
          </w:p>
        </w:tc>
        <w:tc>
          <w:tcPr>
            <w:tcW w:w="237" w:type="dxa"/>
          </w:tcPr>
          <w:p>
            <w:pPr>
              <w:pStyle w:val="TableParagraph"/>
              <w:spacing w:line="243" w:lineRule="exact"/>
              <w:ind w:left="78"/>
              <w:rPr>
                <w:b/>
                <w:sz w:val="20"/>
              </w:rPr>
            </w:pPr>
            <w:r>
              <w:rPr>
                <w:b/>
                <w:w w:val="99"/>
                <w:sz w:val="20"/>
              </w:rPr>
              <w:t>1</w:t>
            </w:r>
          </w:p>
        </w:tc>
        <w:tc>
          <w:tcPr>
            <w:tcW w:w="235" w:type="dxa"/>
          </w:tcPr>
          <w:p>
            <w:pPr>
              <w:pStyle w:val="TableParagraph"/>
              <w:spacing w:line="243" w:lineRule="exact"/>
              <w:ind w:left="76"/>
              <w:rPr>
                <w:b/>
                <w:sz w:val="20"/>
              </w:rPr>
            </w:pPr>
            <w:r>
              <w:rPr>
                <w:b/>
                <w:w w:val="99"/>
                <w:sz w:val="20"/>
              </w:rPr>
              <w:t>2</w:t>
            </w:r>
          </w:p>
        </w:tc>
        <w:tc>
          <w:tcPr>
            <w:tcW w:w="235" w:type="dxa"/>
          </w:tcPr>
          <w:p>
            <w:pPr>
              <w:pStyle w:val="TableParagraph"/>
              <w:spacing w:line="243" w:lineRule="exact"/>
              <w:ind w:left="79"/>
              <w:rPr>
                <w:sz w:val="20"/>
              </w:rPr>
            </w:pPr>
            <w:r>
              <w:rPr>
                <w:w w:val="99"/>
                <w:sz w:val="20"/>
              </w:rPr>
              <w:t>3</w:t>
            </w:r>
          </w:p>
        </w:tc>
        <w:tc>
          <w:tcPr>
            <w:tcW w:w="237" w:type="dxa"/>
          </w:tcPr>
          <w:p>
            <w:pPr>
              <w:pStyle w:val="TableParagraph"/>
              <w:spacing w:line="243" w:lineRule="exact"/>
              <w:ind w:left="79"/>
              <w:rPr>
                <w:sz w:val="20"/>
              </w:rPr>
            </w:pPr>
            <w:r>
              <w:rPr>
                <w:w w:val="99"/>
                <w:sz w:val="20"/>
              </w:rPr>
              <w:t>4</w:t>
            </w:r>
          </w:p>
        </w:tc>
        <w:tc>
          <w:tcPr>
            <w:tcW w:w="235" w:type="dxa"/>
          </w:tcPr>
          <w:p>
            <w:pPr>
              <w:pStyle w:val="TableParagraph"/>
              <w:spacing w:line="243" w:lineRule="exact"/>
              <w:ind w:left="78"/>
              <w:rPr>
                <w:b/>
                <w:sz w:val="20"/>
              </w:rPr>
            </w:pPr>
            <w:r>
              <w:rPr>
                <w:b/>
                <w:w w:val="99"/>
                <w:sz w:val="20"/>
              </w:rPr>
              <w:t>1</w:t>
            </w:r>
          </w:p>
        </w:tc>
        <w:tc>
          <w:tcPr>
            <w:tcW w:w="234" w:type="dxa"/>
          </w:tcPr>
          <w:p>
            <w:pPr>
              <w:pStyle w:val="TableParagraph"/>
              <w:spacing w:line="243" w:lineRule="exact"/>
              <w:ind w:left="80"/>
              <w:rPr>
                <w:b/>
                <w:sz w:val="20"/>
              </w:rPr>
            </w:pPr>
            <w:r>
              <w:rPr>
                <w:b/>
                <w:w w:val="99"/>
                <w:sz w:val="20"/>
              </w:rPr>
              <w:t>2</w:t>
            </w:r>
          </w:p>
        </w:tc>
        <w:tc>
          <w:tcPr>
            <w:tcW w:w="236" w:type="dxa"/>
          </w:tcPr>
          <w:p>
            <w:pPr>
              <w:pStyle w:val="TableParagraph"/>
              <w:spacing w:line="243" w:lineRule="exact"/>
              <w:ind w:left="81"/>
              <w:rPr>
                <w:sz w:val="20"/>
              </w:rPr>
            </w:pPr>
            <w:r>
              <w:rPr>
                <w:w w:val="99"/>
                <w:sz w:val="20"/>
              </w:rPr>
              <w:t>3</w:t>
            </w:r>
          </w:p>
        </w:tc>
        <w:tc>
          <w:tcPr>
            <w:tcW w:w="234" w:type="dxa"/>
          </w:tcPr>
          <w:p>
            <w:pPr>
              <w:pStyle w:val="TableParagraph"/>
              <w:spacing w:line="243" w:lineRule="exact"/>
              <w:ind w:left="81"/>
              <w:rPr>
                <w:sz w:val="20"/>
              </w:rPr>
            </w:pPr>
            <w:r>
              <w:rPr>
                <w:w w:val="99"/>
                <w:sz w:val="20"/>
              </w:rPr>
              <w:t>4</w:t>
            </w:r>
          </w:p>
        </w:tc>
        <w:tc>
          <w:tcPr>
            <w:tcW w:w="234" w:type="dxa"/>
          </w:tcPr>
          <w:p>
            <w:pPr>
              <w:pStyle w:val="TableParagraph"/>
              <w:spacing w:line="243" w:lineRule="exact"/>
              <w:ind w:left="84"/>
              <w:rPr>
                <w:sz w:val="20"/>
              </w:rPr>
            </w:pPr>
            <w:r>
              <w:rPr>
                <w:w w:val="99"/>
                <w:sz w:val="20"/>
              </w:rPr>
              <w:t>1</w:t>
            </w:r>
          </w:p>
        </w:tc>
        <w:tc>
          <w:tcPr>
            <w:tcW w:w="236" w:type="dxa"/>
          </w:tcPr>
          <w:p>
            <w:pPr>
              <w:pStyle w:val="TableParagraph"/>
              <w:spacing w:line="243" w:lineRule="exact"/>
              <w:ind w:left="85"/>
              <w:rPr>
                <w:sz w:val="20"/>
              </w:rPr>
            </w:pPr>
            <w:r>
              <w:rPr>
                <w:w w:val="99"/>
                <w:sz w:val="20"/>
              </w:rPr>
              <w:t>2</w:t>
            </w:r>
          </w:p>
        </w:tc>
        <w:tc>
          <w:tcPr>
            <w:tcW w:w="234" w:type="dxa"/>
          </w:tcPr>
          <w:p>
            <w:pPr>
              <w:pStyle w:val="TableParagraph"/>
              <w:spacing w:line="243" w:lineRule="exact"/>
              <w:ind w:left="85"/>
              <w:rPr>
                <w:sz w:val="20"/>
              </w:rPr>
            </w:pPr>
            <w:r>
              <w:rPr>
                <w:w w:val="99"/>
                <w:sz w:val="20"/>
              </w:rPr>
              <w:t>3</w:t>
            </w:r>
          </w:p>
        </w:tc>
        <w:tc>
          <w:tcPr>
            <w:tcW w:w="234" w:type="dxa"/>
            <w:tcBorders>
              <w:right w:val="single" w:sz="8" w:space="0" w:color="000000"/>
            </w:tcBorders>
          </w:tcPr>
          <w:p>
            <w:pPr>
              <w:pStyle w:val="TableParagraph"/>
              <w:spacing w:line="243" w:lineRule="exact"/>
              <w:ind w:left="88"/>
              <w:rPr>
                <w:sz w:val="20"/>
              </w:rPr>
            </w:pPr>
            <w:r>
              <w:rPr>
                <w:w w:val="99"/>
                <w:sz w:val="20"/>
              </w:rPr>
              <w:t>4</w:t>
            </w:r>
          </w:p>
        </w:tc>
      </w:tr>
      <w:tr>
        <w:trPr>
          <w:trHeight w:val="731" w:hRule="atLeast"/>
        </w:trPr>
        <w:tc>
          <w:tcPr>
            <w:tcW w:w="1176" w:type="dxa"/>
            <w:vMerge w:val="restart"/>
            <w:tcBorders>
              <w:left w:val="single" w:sz="8" w:space="0" w:color="000000"/>
            </w:tcBorders>
          </w:tcPr>
          <w:p>
            <w:pPr>
              <w:pStyle w:val="TableParagraph"/>
              <w:spacing w:line="243" w:lineRule="exact"/>
              <w:ind w:left="69"/>
              <w:rPr>
                <w:sz w:val="20"/>
              </w:rPr>
            </w:pPr>
            <w:r>
              <w:rPr>
                <w:sz w:val="20"/>
              </w:rPr>
              <w:t>R.5.</w:t>
            </w:r>
          </w:p>
        </w:tc>
        <w:tc>
          <w:tcPr>
            <w:tcW w:w="2175" w:type="dxa"/>
            <w:shd w:val="clear" w:color="auto" w:fill="FFF1CC"/>
          </w:tcPr>
          <w:p>
            <w:pPr>
              <w:pStyle w:val="TableParagraph"/>
              <w:ind w:left="74" w:right="171"/>
              <w:rPr>
                <w:sz w:val="20"/>
              </w:rPr>
            </w:pPr>
            <w:r>
              <w:rPr>
                <w:sz w:val="20"/>
              </w:rPr>
              <w:t>17. Elaboración de Plan de Vida Estratégica</w:t>
            </w:r>
          </w:p>
        </w:tc>
        <w:tc>
          <w:tcPr>
            <w:tcW w:w="1135" w:type="dxa"/>
          </w:tcPr>
          <w:p>
            <w:pPr>
              <w:pStyle w:val="TableParagraph"/>
              <w:ind w:left="74" w:right="81"/>
              <w:rPr>
                <w:sz w:val="20"/>
              </w:rPr>
            </w:pPr>
            <w:r>
              <w:rPr>
                <w:sz w:val="20"/>
              </w:rPr>
              <w:t>2do </w:t>
            </w:r>
            <w:r>
              <w:rPr>
                <w:w w:val="95"/>
                <w:sz w:val="20"/>
              </w:rPr>
              <w:t>trimestre</w:t>
            </w:r>
          </w:p>
          <w:p>
            <w:pPr>
              <w:pStyle w:val="TableParagraph"/>
              <w:spacing w:line="224" w:lineRule="exact"/>
              <w:ind w:left="74"/>
              <w:rPr>
                <w:sz w:val="20"/>
              </w:rPr>
            </w:pPr>
            <w:r>
              <w:rPr>
                <w:sz w:val="20"/>
              </w:rPr>
              <w:t>año 1</w:t>
            </w:r>
          </w:p>
        </w:tc>
        <w:tc>
          <w:tcPr>
            <w:tcW w:w="237"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tcPr>
          <w:p>
            <w:pPr>
              <w:pStyle w:val="TableParagraph"/>
              <w:rPr>
                <w:rFonts w:ascii="Times New Roman"/>
                <w:sz w:val="18"/>
              </w:rPr>
            </w:pPr>
          </w:p>
        </w:tc>
      </w:tr>
      <w:tr>
        <w:trPr>
          <w:trHeight w:val="732" w:hRule="atLeast"/>
        </w:trPr>
        <w:tc>
          <w:tcPr>
            <w:tcW w:w="1176" w:type="dxa"/>
            <w:vMerge/>
            <w:tcBorders>
              <w:top w:val="nil"/>
              <w:left w:val="single" w:sz="8" w:space="0" w:color="000000"/>
            </w:tcBorders>
          </w:tcPr>
          <w:p>
            <w:pPr>
              <w:rPr>
                <w:sz w:val="2"/>
                <w:szCs w:val="2"/>
              </w:rPr>
            </w:pPr>
          </w:p>
        </w:tc>
        <w:tc>
          <w:tcPr>
            <w:tcW w:w="2175" w:type="dxa"/>
            <w:shd w:val="clear" w:color="auto" w:fill="FFF1CC"/>
          </w:tcPr>
          <w:p>
            <w:pPr>
              <w:pStyle w:val="TableParagraph"/>
              <w:ind w:left="74" w:right="171"/>
              <w:rPr>
                <w:sz w:val="20"/>
              </w:rPr>
            </w:pPr>
            <w:r>
              <w:rPr>
                <w:sz w:val="20"/>
              </w:rPr>
              <w:t>18. Aplicación del Plan en ciclos</w:t>
            </w:r>
          </w:p>
        </w:tc>
        <w:tc>
          <w:tcPr>
            <w:tcW w:w="1135" w:type="dxa"/>
          </w:tcPr>
          <w:p>
            <w:pPr>
              <w:pStyle w:val="TableParagraph"/>
              <w:spacing w:line="244" w:lineRule="exact"/>
              <w:ind w:left="74"/>
              <w:rPr>
                <w:sz w:val="20"/>
              </w:rPr>
            </w:pPr>
            <w:r>
              <w:rPr>
                <w:sz w:val="20"/>
              </w:rPr>
              <w:t>4to</w:t>
            </w:r>
          </w:p>
          <w:p>
            <w:pPr>
              <w:pStyle w:val="TableParagraph"/>
              <w:spacing w:line="240" w:lineRule="atLeast"/>
              <w:ind w:left="74" w:right="81"/>
              <w:rPr>
                <w:sz w:val="20"/>
              </w:rPr>
            </w:pPr>
            <w:r>
              <w:rPr>
                <w:w w:val="95"/>
                <w:sz w:val="20"/>
              </w:rPr>
              <w:t>trimestre </w:t>
            </w:r>
            <w:r>
              <w:rPr>
                <w:sz w:val="20"/>
              </w:rPr>
              <w:t>año 1</w:t>
            </w: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shd w:val="clear" w:color="auto" w:fill="ADAAAA"/>
          </w:tcPr>
          <w:p>
            <w:pPr>
              <w:pStyle w:val="TableParagraph"/>
              <w:rPr>
                <w:rFonts w:ascii="Times New Roman"/>
                <w:sz w:val="18"/>
              </w:rPr>
            </w:pPr>
          </w:p>
        </w:tc>
      </w:tr>
      <w:tr>
        <w:trPr>
          <w:trHeight w:val="734" w:hRule="atLeast"/>
        </w:trPr>
        <w:tc>
          <w:tcPr>
            <w:tcW w:w="1176" w:type="dxa"/>
            <w:vMerge/>
            <w:tcBorders>
              <w:top w:val="nil"/>
              <w:left w:val="single" w:sz="8" w:space="0" w:color="000000"/>
            </w:tcBorders>
          </w:tcPr>
          <w:p>
            <w:pPr>
              <w:rPr>
                <w:sz w:val="2"/>
                <w:szCs w:val="2"/>
              </w:rPr>
            </w:pPr>
          </w:p>
        </w:tc>
        <w:tc>
          <w:tcPr>
            <w:tcW w:w="2175" w:type="dxa"/>
            <w:shd w:val="clear" w:color="auto" w:fill="FFF1CC"/>
          </w:tcPr>
          <w:p>
            <w:pPr>
              <w:pStyle w:val="TableParagraph"/>
              <w:spacing w:before="1"/>
              <w:ind w:left="74" w:right="632"/>
              <w:rPr>
                <w:sz w:val="20"/>
              </w:rPr>
            </w:pPr>
            <w:r>
              <w:rPr>
                <w:sz w:val="20"/>
              </w:rPr>
              <w:t>19. Seguimiento a procesos-impacto</w:t>
            </w:r>
          </w:p>
        </w:tc>
        <w:tc>
          <w:tcPr>
            <w:tcW w:w="1135" w:type="dxa"/>
          </w:tcPr>
          <w:p>
            <w:pPr>
              <w:pStyle w:val="TableParagraph"/>
              <w:spacing w:before="1"/>
              <w:ind w:left="74" w:right="81"/>
              <w:rPr>
                <w:sz w:val="20"/>
              </w:rPr>
            </w:pPr>
            <w:r>
              <w:rPr>
                <w:sz w:val="20"/>
              </w:rPr>
              <w:t>1er </w:t>
            </w:r>
            <w:r>
              <w:rPr>
                <w:w w:val="95"/>
                <w:sz w:val="20"/>
              </w:rPr>
              <w:t>trimestre</w:t>
            </w:r>
          </w:p>
          <w:p>
            <w:pPr>
              <w:pStyle w:val="TableParagraph"/>
              <w:spacing w:line="224" w:lineRule="exact"/>
              <w:ind w:left="74"/>
              <w:rPr>
                <w:sz w:val="20"/>
              </w:rPr>
            </w:pPr>
            <w:r>
              <w:rPr>
                <w:sz w:val="20"/>
              </w:rPr>
              <w:t>c/año</w:t>
            </w: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tcPr>
          <w:p>
            <w:pPr>
              <w:pStyle w:val="TableParagraph"/>
              <w:rPr>
                <w:rFonts w:ascii="Times New Roman"/>
                <w:sz w:val="18"/>
              </w:rPr>
            </w:pPr>
          </w:p>
        </w:tc>
      </w:tr>
      <w:tr>
        <w:trPr>
          <w:trHeight w:val="731" w:hRule="atLeast"/>
        </w:trPr>
        <w:tc>
          <w:tcPr>
            <w:tcW w:w="1176" w:type="dxa"/>
            <w:vMerge/>
            <w:tcBorders>
              <w:top w:val="nil"/>
              <w:left w:val="single" w:sz="8" w:space="0" w:color="000000"/>
            </w:tcBorders>
          </w:tcPr>
          <w:p>
            <w:pPr>
              <w:rPr>
                <w:sz w:val="2"/>
                <w:szCs w:val="2"/>
              </w:rPr>
            </w:pPr>
          </w:p>
        </w:tc>
        <w:tc>
          <w:tcPr>
            <w:tcW w:w="2175" w:type="dxa"/>
            <w:shd w:val="clear" w:color="auto" w:fill="FFF1CC"/>
          </w:tcPr>
          <w:p>
            <w:pPr>
              <w:pStyle w:val="TableParagraph"/>
              <w:ind w:left="74"/>
              <w:rPr>
                <w:sz w:val="20"/>
              </w:rPr>
            </w:pPr>
            <w:r>
              <w:rPr>
                <w:sz w:val="20"/>
              </w:rPr>
              <w:t>20. Mecanismos de coordinación</w:t>
            </w:r>
          </w:p>
        </w:tc>
        <w:tc>
          <w:tcPr>
            <w:tcW w:w="1135" w:type="dxa"/>
          </w:tcPr>
          <w:p>
            <w:pPr>
              <w:pStyle w:val="TableParagraph"/>
              <w:ind w:left="74" w:right="81"/>
              <w:rPr>
                <w:sz w:val="20"/>
              </w:rPr>
            </w:pPr>
            <w:r>
              <w:rPr>
                <w:sz w:val="20"/>
              </w:rPr>
              <w:t>4to </w:t>
            </w:r>
            <w:r>
              <w:rPr>
                <w:w w:val="95"/>
                <w:sz w:val="20"/>
              </w:rPr>
              <w:t>trimestre</w:t>
            </w:r>
          </w:p>
          <w:p>
            <w:pPr>
              <w:pStyle w:val="TableParagraph"/>
              <w:spacing w:line="224" w:lineRule="exact"/>
              <w:ind w:left="74"/>
              <w:rPr>
                <w:sz w:val="20"/>
              </w:rPr>
            </w:pPr>
            <w:r>
              <w:rPr>
                <w:sz w:val="20"/>
              </w:rPr>
              <w:t>c/año</w:t>
            </w: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shd w:val="clear" w:color="auto" w:fill="ADAAAA"/>
          </w:tcPr>
          <w:p>
            <w:pPr>
              <w:pStyle w:val="TableParagraph"/>
              <w:rPr>
                <w:rFonts w:ascii="Times New Roman"/>
                <w:sz w:val="18"/>
              </w:rPr>
            </w:pPr>
          </w:p>
        </w:tc>
      </w:tr>
      <w:tr>
        <w:trPr>
          <w:trHeight w:val="731" w:hRule="atLeast"/>
        </w:trPr>
        <w:tc>
          <w:tcPr>
            <w:tcW w:w="1176" w:type="dxa"/>
            <w:vMerge w:val="restart"/>
            <w:tcBorders>
              <w:left w:val="single" w:sz="8" w:space="0" w:color="000000"/>
            </w:tcBorders>
          </w:tcPr>
          <w:p>
            <w:pPr>
              <w:pStyle w:val="TableParagraph"/>
              <w:spacing w:line="243" w:lineRule="exact"/>
              <w:ind w:left="69"/>
              <w:rPr>
                <w:sz w:val="20"/>
              </w:rPr>
            </w:pPr>
            <w:r>
              <w:rPr>
                <w:sz w:val="20"/>
              </w:rPr>
              <w:t>R.6</w:t>
            </w:r>
          </w:p>
        </w:tc>
        <w:tc>
          <w:tcPr>
            <w:tcW w:w="2175" w:type="dxa"/>
            <w:shd w:val="clear" w:color="auto" w:fill="FFF1CC"/>
          </w:tcPr>
          <w:p>
            <w:pPr>
              <w:pStyle w:val="TableParagraph"/>
              <w:ind w:left="74"/>
              <w:rPr>
                <w:sz w:val="20"/>
              </w:rPr>
            </w:pPr>
            <w:r>
              <w:rPr>
                <w:sz w:val="20"/>
              </w:rPr>
              <w:t>21. Sistema de gestión y directiva</w:t>
            </w:r>
          </w:p>
        </w:tc>
        <w:tc>
          <w:tcPr>
            <w:tcW w:w="1135" w:type="dxa"/>
          </w:tcPr>
          <w:p>
            <w:pPr>
              <w:pStyle w:val="TableParagraph"/>
              <w:spacing w:line="243" w:lineRule="exact"/>
              <w:ind w:left="74"/>
              <w:rPr>
                <w:sz w:val="20"/>
              </w:rPr>
            </w:pPr>
            <w:r>
              <w:rPr>
                <w:sz w:val="20"/>
              </w:rPr>
              <w:t>1er</w:t>
            </w:r>
          </w:p>
          <w:p>
            <w:pPr>
              <w:pStyle w:val="TableParagraph"/>
              <w:spacing w:line="240" w:lineRule="atLeast"/>
              <w:ind w:left="74" w:right="81"/>
              <w:rPr>
                <w:sz w:val="20"/>
              </w:rPr>
            </w:pPr>
            <w:r>
              <w:rPr>
                <w:w w:val="95"/>
                <w:sz w:val="20"/>
              </w:rPr>
              <w:t>trimestre </w:t>
            </w:r>
            <w:r>
              <w:rPr>
                <w:sz w:val="20"/>
              </w:rPr>
              <w:t>año 1 y 2</w:t>
            </w: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tcPr>
          <w:p>
            <w:pPr>
              <w:pStyle w:val="TableParagraph"/>
              <w:rPr>
                <w:rFonts w:ascii="Times New Roman"/>
                <w:sz w:val="18"/>
              </w:rPr>
            </w:pPr>
          </w:p>
        </w:tc>
      </w:tr>
      <w:tr>
        <w:trPr>
          <w:trHeight w:val="976" w:hRule="atLeast"/>
        </w:trPr>
        <w:tc>
          <w:tcPr>
            <w:tcW w:w="1176" w:type="dxa"/>
            <w:vMerge/>
            <w:tcBorders>
              <w:top w:val="nil"/>
              <w:left w:val="single" w:sz="8" w:space="0" w:color="000000"/>
            </w:tcBorders>
          </w:tcPr>
          <w:p>
            <w:pPr>
              <w:rPr>
                <w:sz w:val="2"/>
                <w:szCs w:val="2"/>
              </w:rPr>
            </w:pPr>
          </w:p>
        </w:tc>
        <w:tc>
          <w:tcPr>
            <w:tcW w:w="2175" w:type="dxa"/>
            <w:shd w:val="clear" w:color="auto" w:fill="FFF1CC"/>
          </w:tcPr>
          <w:p>
            <w:pPr>
              <w:pStyle w:val="TableParagraph"/>
              <w:spacing w:before="1"/>
              <w:ind w:left="74"/>
              <w:rPr>
                <w:sz w:val="20"/>
              </w:rPr>
            </w:pPr>
            <w:r>
              <w:rPr>
                <w:sz w:val="20"/>
              </w:rPr>
              <w:t>22. Sesiones directivas y ejecutivas</w:t>
            </w:r>
          </w:p>
        </w:tc>
        <w:tc>
          <w:tcPr>
            <w:tcW w:w="1135" w:type="dxa"/>
          </w:tcPr>
          <w:p>
            <w:pPr>
              <w:pStyle w:val="TableParagraph"/>
              <w:spacing w:before="1"/>
              <w:ind w:left="74"/>
              <w:rPr>
                <w:sz w:val="20"/>
              </w:rPr>
            </w:pPr>
            <w:r>
              <w:rPr>
                <w:sz w:val="20"/>
              </w:rPr>
              <w:t>Periódico Junta </w:t>
            </w:r>
            <w:r>
              <w:rPr>
                <w:w w:val="95"/>
                <w:sz w:val="20"/>
              </w:rPr>
              <w:t>Comunitari</w:t>
            </w:r>
          </w:p>
          <w:p>
            <w:pPr>
              <w:pStyle w:val="TableParagraph"/>
              <w:spacing w:line="223" w:lineRule="exact"/>
              <w:ind w:left="74"/>
              <w:rPr>
                <w:sz w:val="20"/>
              </w:rPr>
            </w:pPr>
            <w:r>
              <w:rPr>
                <w:sz w:val="20"/>
              </w:rPr>
              <w:t>a. 5 años</w:t>
            </w:r>
          </w:p>
        </w:tc>
        <w:tc>
          <w:tcPr>
            <w:tcW w:w="237"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4" w:type="dxa"/>
            <w:tcBorders>
              <w:right w:val="single" w:sz="8" w:space="0" w:color="000000"/>
            </w:tcBorders>
            <w:shd w:val="clear" w:color="auto" w:fill="ADAAAA"/>
          </w:tcPr>
          <w:p>
            <w:pPr>
              <w:pStyle w:val="TableParagraph"/>
              <w:rPr>
                <w:rFonts w:ascii="Times New Roman"/>
                <w:sz w:val="18"/>
              </w:rPr>
            </w:pPr>
          </w:p>
        </w:tc>
      </w:tr>
      <w:tr>
        <w:trPr>
          <w:trHeight w:val="733" w:hRule="atLeast"/>
        </w:trPr>
        <w:tc>
          <w:tcPr>
            <w:tcW w:w="1176" w:type="dxa"/>
            <w:vMerge/>
            <w:tcBorders>
              <w:top w:val="nil"/>
              <w:left w:val="single" w:sz="8" w:space="0" w:color="000000"/>
            </w:tcBorders>
          </w:tcPr>
          <w:p>
            <w:pPr>
              <w:rPr>
                <w:sz w:val="2"/>
                <w:szCs w:val="2"/>
              </w:rPr>
            </w:pPr>
          </w:p>
        </w:tc>
        <w:tc>
          <w:tcPr>
            <w:tcW w:w="2175" w:type="dxa"/>
            <w:shd w:val="clear" w:color="auto" w:fill="FFF1CC"/>
          </w:tcPr>
          <w:p>
            <w:pPr>
              <w:pStyle w:val="TableParagraph"/>
              <w:spacing w:before="1"/>
              <w:ind w:left="74"/>
              <w:rPr>
                <w:sz w:val="20"/>
              </w:rPr>
            </w:pPr>
            <w:r>
              <w:rPr>
                <w:sz w:val="20"/>
              </w:rPr>
              <w:t>23. Propuesta de Ley marco</w:t>
            </w:r>
          </w:p>
        </w:tc>
        <w:tc>
          <w:tcPr>
            <w:tcW w:w="1135" w:type="dxa"/>
          </w:tcPr>
          <w:p>
            <w:pPr>
              <w:pStyle w:val="TableParagraph"/>
              <w:spacing w:before="1"/>
              <w:ind w:left="74" w:right="81"/>
              <w:rPr>
                <w:sz w:val="20"/>
              </w:rPr>
            </w:pPr>
            <w:r>
              <w:rPr>
                <w:sz w:val="20"/>
              </w:rPr>
              <w:t>1er </w:t>
            </w:r>
            <w:r>
              <w:rPr>
                <w:w w:val="95"/>
                <w:sz w:val="20"/>
              </w:rPr>
              <w:t>trimestre</w:t>
            </w:r>
          </w:p>
          <w:p>
            <w:pPr>
              <w:pStyle w:val="TableParagraph"/>
              <w:spacing w:line="224" w:lineRule="exact"/>
              <w:ind w:left="74"/>
              <w:rPr>
                <w:sz w:val="20"/>
              </w:rPr>
            </w:pPr>
            <w:r>
              <w:rPr>
                <w:sz w:val="20"/>
              </w:rPr>
              <w:t>año 1</w:t>
            </w:r>
          </w:p>
        </w:tc>
        <w:tc>
          <w:tcPr>
            <w:tcW w:w="237" w:type="dxa"/>
            <w:shd w:val="clear" w:color="auto" w:fill="D0CECE"/>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tcPr>
          <w:p>
            <w:pPr>
              <w:pStyle w:val="TableParagraph"/>
              <w:rPr>
                <w:rFonts w:ascii="Times New Roman"/>
                <w:sz w:val="18"/>
              </w:rPr>
            </w:pPr>
          </w:p>
        </w:tc>
      </w:tr>
      <w:tr>
        <w:trPr>
          <w:trHeight w:val="493" w:hRule="atLeast"/>
        </w:trPr>
        <w:tc>
          <w:tcPr>
            <w:tcW w:w="1176" w:type="dxa"/>
            <w:vMerge/>
            <w:tcBorders>
              <w:top w:val="nil"/>
              <w:left w:val="single" w:sz="8" w:space="0" w:color="000000"/>
            </w:tcBorders>
          </w:tcPr>
          <w:p>
            <w:pPr>
              <w:rPr>
                <w:sz w:val="2"/>
                <w:szCs w:val="2"/>
              </w:rPr>
            </w:pPr>
          </w:p>
        </w:tc>
        <w:tc>
          <w:tcPr>
            <w:tcW w:w="2175" w:type="dxa"/>
            <w:shd w:val="clear" w:color="auto" w:fill="FFF1CC"/>
          </w:tcPr>
          <w:p>
            <w:pPr>
              <w:pStyle w:val="TableParagraph"/>
              <w:spacing w:line="243" w:lineRule="exact"/>
              <w:ind w:left="74"/>
              <w:rPr>
                <w:sz w:val="20"/>
              </w:rPr>
            </w:pPr>
            <w:r>
              <w:rPr>
                <w:sz w:val="20"/>
              </w:rPr>
              <w:t>24. Gestión y firma de</w:t>
            </w:r>
          </w:p>
          <w:p>
            <w:pPr>
              <w:pStyle w:val="TableParagraph"/>
              <w:spacing w:line="230" w:lineRule="exact"/>
              <w:ind w:left="74"/>
              <w:rPr>
                <w:sz w:val="20"/>
              </w:rPr>
            </w:pPr>
            <w:r>
              <w:rPr>
                <w:sz w:val="20"/>
              </w:rPr>
              <w:t>convenios</w:t>
            </w:r>
          </w:p>
        </w:tc>
        <w:tc>
          <w:tcPr>
            <w:tcW w:w="1135" w:type="dxa"/>
          </w:tcPr>
          <w:p>
            <w:pPr>
              <w:pStyle w:val="TableParagraph"/>
              <w:spacing w:line="243" w:lineRule="exact"/>
              <w:ind w:left="74"/>
              <w:rPr>
                <w:sz w:val="20"/>
              </w:rPr>
            </w:pPr>
            <w:r>
              <w:rPr>
                <w:sz w:val="20"/>
              </w:rPr>
              <w:t>Permanent</w:t>
            </w:r>
          </w:p>
          <w:p>
            <w:pPr>
              <w:pStyle w:val="TableParagraph"/>
              <w:spacing w:line="230" w:lineRule="exact"/>
              <w:ind w:left="74"/>
              <w:rPr>
                <w:sz w:val="20"/>
              </w:rPr>
            </w:pPr>
            <w:r>
              <w:rPr>
                <w:sz w:val="20"/>
              </w:rPr>
              <w:t>e 5 años</w:t>
            </w:r>
          </w:p>
        </w:tc>
        <w:tc>
          <w:tcPr>
            <w:tcW w:w="237"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4" w:type="dxa"/>
            <w:shd w:val="clear" w:color="auto" w:fill="D0CECE"/>
          </w:tcPr>
          <w:p>
            <w:pPr>
              <w:pStyle w:val="TableParagraph"/>
              <w:rPr>
                <w:rFonts w:ascii="Times New Roman"/>
                <w:sz w:val="18"/>
              </w:rPr>
            </w:pPr>
          </w:p>
        </w:tc>
        <w:tc>
          <w:tcPr>
            <w:tcW w:w="236" w:type="dxa"/>
            <w:shd w:val="clear" w:color="auto" w:fill="ADAAAA"/>
          </w:tcPr>
          <w:p>
            <w:pPr>
              <w:pStyle w:val="TableParagraph"/>
              <w:rPr>
                <w:rFonts w:ascii="Times New Roman"/>
                <w:sz w:val="18"/>
              </w:rPr>
            </w:pPr>
          </w:p>
        </w:tc>
        <w:tc>
          <w:tcPr>
            <w:tcW w:w="234" w:type="dxa"/>
            <w:shd w:val="clear" w:color="auto" w:fill="D0CECE"/>
          </w:tcPr>
          <w:p>
            <w:pPr>
              <w:pStyle w:val="TableParagraph"/>
              <w:rPr>
                <w:rFonts w:ascii="Times New Roman"/>
                <w:sz w:val="18"/>
              </w:rPr>
            </w:pPr>
          </w:p>
        </w:tc>
        <w:tc>
          <w:tcPr>
            <w:tcW w:w="234" w:type="dxa"/>
            <w:shd w:val="clear" w:color="auto" w:fill="D0CECE"/>
          </w:tcPr>
          <w:p>
            <w:pPr>
              <w:pStyle w:val="TableParagraph"/>
              <w:rPr>
                <w:rFonts w:ascii="Times New Roman"/>
                <w:sz w:val="18"/>
              </w:rPr>
            </w:pPr>
          </w:p>
        </w:tc>
        <w:tc>
          <w:tcPr>
            <w:tcW w:w="236" w:type="dxa"/>
            <w:shd w:val="clear" w:color="auto" w:fill="D0CECE"/>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4" w:type="dxa"/>
            <w:tcBorders>
              <w:right w:val="single" w:sz="8" w:space="0" w:color="000000"/>
            </w:tcBorders>
            <w:shd w:val="clear" w:color="auto" w:fill="D0CECE"/>
          </w:tcPr>
          <w:p>
            <w:pPr>
              <w:pStyle w:val="TableParagraph"/>
              <w:rPr>
                <w:rFonts w:ascii="Times New Roman"/>
                <w:sz w:val="18"/>
              </w:rPr>
            </w:pPr>
          </w:p>
        </w:tc>
      </w:tr>
      <w:tr>
        <w:trPr>
          <w:trHeight w:val="734" w:hRule="atLeast"/>
        </w:trPr>
        <w:tc>
          <w:tcPr>
            <w:tcW w:w="1176" w:type="dxa"/>
            <w:vMerge w:val="restart"/>
            <w:tcBorders>
              <w:left w:val="single" w:sz="8" w:space="0" w:color="000000"/>
            </w:tcBorders>
          </w:tcPr>
          <w:p>
            <w:pPr>
              <w:pStyle w:val="TableParagraph"/>
              <w:spacing w:line="243" w:lineRule="exact"/>
              <w:ind w:left="69"/>
              <w:rPr>
                <w:sz w:val="20"/>
              </w:rPr>
            </w:pPr>
            <w:r>
              <w:rPr>
                <w:sz w:val="20"/>
              </w:rPr>
              <w:t>R.7</w:t>
            </w:r>
          </w:p>
        </w:tc>
        <w:tc>
          <w:tcPr>
            <w:tcW w:w="2175" w:type="dxa"/>
            <w:shd w:val="clear" w:color="auto" w:fill="FFF1CC"/>
          </w:tcPr>
          <w:p>
            <w:pPr>
              <w:pStyle w:val="TableParagraph"/>
              <w:spacing w:line="243" w:lineRule="exact"/>
              <w:ind w:left="74"/>
              <w:rPr>
                <w:sz w:val="20"/>
              </w:rPr>
            </w:pPr>
            <w:r>
              <w:rPr>
                <w:sz w:val="20"/>
              </w:rPr>
              <w:t>25.</w:t>
            </w:r>
          </w:p>
          <w:p>
            <w:pPr>
              <w:pStyle w:val="TableParagraph"/>
              <w:spacing w:line="240" w:lineRule="atLeast"/>
              <w:ind w:left="74" w:right="59"/>
              <w:rPr>
                <w:sz w:val="20"/>
              </w:rPr>
            </w:pPr>
            <w:r>
              <w:rPr>
                <w:w w:val="95"/>
                <w:sz w:val="20"/>
              </w:rPr>
              <w:t>capacitación/actualizaci </w:t>
            </w:r>
            <w:r>
              <w:rPr>
                <w:sz w:val="20"/>
              </w:rPr>
              <w:t>ón en gestión pública</w:t>
            </w:r>
          </w:p>
        </w:tc>
        <w:tc>
          <w:tcPr>
            <w:tcW w:w="1135" w:type="dxa"/>
          </w:tcPr>
          <w:p>
            <w:pPr>
              <w:pStyle w:val="TableParagraph"/>
              <w:ind w:left="74" w:right="81"/>
              <w:rPr>
                <w:sz w:val="20"/>
              </w:rPr>
            </w:pPr>
            <w:r>
              <w:rPr>
                <w:sz w:val="20"/>
              </w:rPr>
              <w:t>1er </w:t>
            </w:r>
            <w:r>
              <w:rPr>
                <w:w w:val="95"/>
                <w:sz w:val="20"/>
              </w:rPr>
              <w:t>trimestre</w:t>
            </w:r>
          </w:p>
          <w:p>
            <w:pPr>
              <w:pStyle w:val="TableParagraph"/>
              <w:spacing w:line="225" w:lineRule="exact"/>
              <w:ind w:left="74"/>
              <w:rPr>
                <w:sz w:val="20"/>
              </w:rPr>
            </w:pPr>
            <w:r>
              <w:rPr>
                <w:sz w:val="20"/>
              </w:rPr>
              <w:t>c/año</w:t>
            </w: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tcPr>
          <w:p>
            <w:pPr>
              <w:pStyle w:val="TableParagraph"/>
              <w:rPr>
                <w:rFonts w:ascii="Times New Roman"/>
                <w:sz w:val="18"/>
              </w:rPr>
            </w:pPr>
          </w:p>
        </w:tc>
      </w:tr>
      <w:tr>
        <w:trPr>
          <w:trHeight w:val="1219" w:hRule="atLeast"/>
        </w:trPr>
        <w:tc>
          <w:tcPr>
            <w:tcW w:w="1176" w:type="dxa"/>
            <w:vMerge/>
            <w:tcBorders>
              <w:top w:val="nil"/>
              <w:left w:val="single" w:sz="8" w:space="0" w:color="000000"/>
            </w:tcBorders>
          </w:tcPr>
          <w:p>
            <w:pPr>
              <w:rPr>
                <w:sz w:val="2"/>
                <w:szCs w:val="2"/>
              </w:rPr>
            </w:pPr>
          </w:p>
        </w:tc>
        <w:tc>
          <w:tcPr>
            <w:tcW w:w="2175" w:type="dxa"/>
            <w:tcBorders>
              <w:bottom w:val="single" w:sz="8" w:space="0" w:color="000000"/>
            </w:tcBorders>
            <w:shd w:val="clear" w:color="auto" w:fill="FFF1CC"/>
          </w:tcPr>
          <w:p>
            <w:pPr>
              <w:pStyle w:val="TableParagraph"/>
              <w:ind w:left="74" w:right="171"/>
              <w:rPr>
                <w:sz w:val="20"/>
              </w:rPr>
            </w:pPr>
            <w:r>
              <w:rPr>
                <w:sz w:val="20"/>
              </w:rPr>
              <w:t>26. Sistema de Gestión </w:t>
            </w:r>
            <w:r>
              <w:rPr>
                <w:w w:val="95"/>
                <w:sz w:val="20"/>
              </w:rPr>
              <w:t>administrativo/financier </w:t>
            </w:r>
            <w:r>
              <w:rPr>
                <w:sz w:val="20"/>
              </w:rPr>
              <w:t>a</w:t>
            </w:r>
          </w:p>
        </w:tc>
        <w:tc>
          <w:tcPr>
            <w:tcW w:w="1135" w:type="dxa"/>
          </w:tcPr>
          <w:p>
            <w:pPr>
              <w:pStyle w:val="TableParagraph"/>
              <w:ind w:left="74" w:right="81"/>
              <w:rPr>
                <w:sz w:val="20"/>
              </w:rPr>
            </w:pPr>
            <w:r>
              <w:rPr>
                <w:sz w:val="20"/>
              </w:rPr>
              <w:t>4to trimestre año 1 y </w:t>
            </w:r>
            <w:r>
              <w:rPr>
                <w:w w:val="95"/>
                <w:sz w:val="20"/>
              </w:rPr>
              <w:t>permanent</w:t>
            </w:r>
          </w:p>
          <w:p>
            <w:pPr>
              <w:pStyle w:val="TableParagraph"/>
              <w:spacing w:line="223" w:lineRule="exact"/>
              <w:ind w:left="74"/>
              <w:rPr>
                <w:sz w:val="20"/>
              </w:rPr>
            </w:pPr>
            <w:r>
              <w:rPr>
                <w:w w:val="99"/>
                <w:sz w:val="20"/>
              </w:rPr>
              <w:t>e</w:t>
            </w:r>
          </w:p>
        </w:tc>
        <w:tc>
          <w:tcPr>
            <w:tcW w:w="237"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shd w:val="clear" w:color="auto" w:fill="ADAAA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4" w:type="dxa"/>
            <w:tcBorders>
              <w:right w:val="single" w:sz="8" w:space="0" w:color="000000"/>
            </w:tcBorders>
            <w:shd w:val="clear" w:color="auto" w:fill="ADAAAA"/>
          </w:tcPr>
          <w:p>
            <w:pPr>
              <w:pStyle w:val="TableParagraph"/>
              <w:rPr>
                <w:rFonts w:ascii="Times New Roman"/>
                <w:sz w:val="18"/>
              </w:rPr>
            </w:pPr>
          </w:p>
        </w:tc>
      </w:tr>
      <w:tr>
        <w:trPr>
          <w:trHeight w:val="750" w:hRule="atLeast"/>
        </w:trPr>
        <w:tc>
          <w:tcPr>
            <w:tcW w:w="1176" w:type="dxa"/>
            <w:vMerge/>
            <w:tcBorders>
              <w:top w:val="nil"/>
              <w:left w:val="single" w:sz="8" w:space="0" w:color="000000"/>
            </w:tcBorders>
          </w:tcPr>
          <w:p>
            <w:pPr>
              <w:rPr>
                <w:sz w:val="2"/>
                <w:szCs w:val="2"/>
              </w:rPr>
            </w:pPr>
          </w:p>
        </w:tc>
        <w:tc>
          <w:tcPr>
            <w:tcW w:w="2175" w:type="dxa"/>
            <w:tcBorders>
              <w:top w:val="single" w:sz="8" w:space="0" w:color="000000"/>
              <w:bottom w:val="single" w:sz="8" w:space="0" w:color="000000"/>
              <w:right w:val="single" w:sz="8" w:space="0" w:color="000000"/>
            </w:tcBorders>
            <w:shd w:val="clear" w:color="auto" w:fill="FFF1CC"/>
          </w:tcPr>
          <w:p>
            <w:pPr>
              <w:pStyle w:val="TableParagraph"/>
              <w:spacing w:before="130"/>
              <w:ind w:left="74" w:right="756"/>
              <w:rPr>
                <w:sz w:val="20"/>
              </w:rPr>
            </w:pPr>
            <w:r>
              <w:rPr>
                <w:sz w:val="20"/>
              </w:rPr>
              <w:t>27. Admisión de aspirantes</w:t>
            </w:r>
          </w:p>
        </w:tc>
        <w:tc>
          <w:tcPr>
            <w:tcW w:w="1135" w:type="dxa"/>
            <w:tcBorders>
              <w:left w:val="single" w:sz="8" w:space="0" w:color="000000"/>
            </w:tcBorders>
          </w:tcPr>
          <w:p>
            <w:pPr>
              <w:pStyle w:val="TableParagraph"/>
              <w:spacing w:before="1"/>
              <w:ind w:left="69" w:right="94"/>
              <w:rPr>
                <w:sz w:val="20"/>
              </w:rPr>
            </w:pPr>
            <w:r>
              <w:rPr>
                <w:sz w:val="20"/>
              </w:rPr>
              <w:t>1er </w:t>
            </w:r>
            <w:r>
              <w:rPr>
                <w:w w:val="95"/>
                <w:sz w:val="20"/>
              </w:rPr>
              <w:t>trimestre</w:t>
            </w:r>
          </w:p>
          <w:p>
            <w:pPr>
              <w:pStyle w:val="TableParagraph"/>
              <w:spacing w:line="241" w:lineRule="exact"/>
              <w:ind w:left="69"/>
              <w:rPr>
                <w:sz w:val="20"/>
              </w:rPr>
            </w:pPr>
            <w:r>
              <w:rPr>
                <w:sz w:val="20"/>
              </w:rPr>
              <w:t>cada</w:t>
            </w:r>
            <w:r>
              <w:rPr>
                <w:spacing w:val="-1"/>
                <w:sz w:val="20"/>
              </w:rPr>
              <w:t> </w:t>
            </w:r>
            <w:r>
              <w:rPr>
                <w:sz w:val="20"/>
              </w:rPr>
              <w:t>año</w:t>
            </w:r>
          </w:p>
        </w:tc>
        <w:tc>
          <w:tcPr>
            <w:tcW w:w="237" w:type="dxa"/>
            <w:shd w:val="clear" w:color="auto" w:fill="A6A6A6"/>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7" w:type="dxa"/>
            <w:shd w:val="clear" w:color="auto" w:fill="A6A6A6"/>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7" w:type="dxa"/>
            <w:shd w:val="clear" w:color="auto" w:fill="A6A6A6"/>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5" w:type="dxa"/>
            <w:shd w:val="clear" w:color="auto" w:fill="D0CECE"/>
          </w:tcPr>
          <w:p>
            <w:pPr>
              <w:pStyle w:val="TableParagraph"/>
              <w:rPr>
                <w:rFonts w:ascii="Times New Roman"/>
                <w:sz w:val="18"/>
              </w:rPr>
            </w:pPr>
          </w:p>
        </w:tc>
        <w:tc>
          <w:tcPr>
            <w:tcW w:w="237" w:type="dxa"/>
            <w:shd w:val="clear" w:color="auto" w:fill="D0CECE"/>
          </w:tcPr>
          <w:p>
            <w:pPr>
              <w:pStyle w:val="TableParagraph"/>
              <w:rPr>
                <w:rFonts w:ascii="Times New Roman"/>
                <w:sz w:val="18"/>
              </w:rPr>
            </w:pPr>
          </w:p>
        </w:tc>
        <w:tc>
          <w:tcPr>
            <w:tcW w:w="235" w:type="dxa"/>
            <w:shd w:val="clear" w:color="auto" w:fill="A6A6A6"/>
          </w:tcPr>
          <w:p>
            <w:pPr>
              <w:pStyle w:val="TableParagraph"/>
              <w:rPr>
                <w:rFonts w:ascii="Times New Roman"/>
                <w:sz w:val="18"/>
              </w:rPr>
            </w:pPr>
          </w:p>
        </w:tc>
        <w:tc>
          <w:tcPr>
            <w:tcW w:w="234" w:type="dxa"/>
            <w:shd w:val="clear" w:color="auto" w:fill="D0CECE"/>
          </w:tcPr>
          <w:p>
            <w:pPr>
              <w:pStyle w:val="TableParagraph"/>
              <w:rPr>
                <w:rFonts w:ascii="Times New Roman"/>
                <w:sz w:val="18"/>
              </w:rPr>
            </w:pPr>
          </w:p>
        </w:tc>
        <w:tc>
          <w:tcPr>
            <w:tcW w:w="236" w:type="dxa"/>
            <w:shd w:val="clear" w:color="auto" w:fill="D0CECE"/>
          </w:tcPr>
          <w:p>
            <w:pPr>
              <w:pStyle w:val="TableParagraph"/>
              <w:rPr>
                <w:rFonts w:ascii="Times New Roman"/>
                <w:sz w:val="18"/>
              </w:rPr>
            </w:pPr>
          </w:p>
        </w:tc>
        <w:tc>
          <w:tcPr>
            <w:tcW w:w="234" w:type="dxa"/>
            <w:shd w:val="clear" w:color="auto" w:fill="D0CECE"/>
          </w:tcPr>
          <w:p>
            <w:pPr>
              <w:pStyle w:val="TableParagraph"/>
              <w:rPr>
                <w:rFonts w:ascii="Times New Roman"/>
                <w:sz w:val="18"/>
              </w:rPr>
            </w:pPr>
          </w:p>
        </w:tc>
        <w:tc>
          <w:tcPr>
            <w:tcW w:w="234" w:type="dxa"/>
            <w:shd w:val="clear" w:color="auto" w:fill="A6A6A6"/>
          </w:tcPr>
          <w:p>
            <w:pPr>
              <w:pStyle w:val="TableParagraph"/>
              <w:rPr>
                <w:rFonts w:ascii="Times New Roman"/>
                <w:sz w:val="18"/>
              </w:rPr>
            </w:pPr>
          </w:p>
        </w:tc>
        <w:tc>
          <w:tcPr>
            <w:tcW w:w="236" w:type="dxa"/>
            <w:shd w:val="clear" w:color="auto" w:fill="D0CECE"/>
          </w:tcPr>
          <w:p>
            <w:pPr>
              <w:pStyle w:val="TableParagraph"/>
              <w:rPr>
                <w:rFonts w:ascii="Times New Roman"/>
                <w:sz w:val="18"/>
              </w:rPr>
            </w:pPr>
          </w:p>
        </w:tc>
        <w:tc>
          <w:tcPr>
            <w:tcW w:w="234" w:type="dxa"/>
            <w:shd w:val="clear" w:color="auto" w:fill="D0CECE"/>
          </w:tcPr>
          <w:p>
            <w:pPr>
              <w:pStyle w:val="TableParagraph"/>
              <w:rPr>
                <w:rFonts w:ascii="Times New Roman"/>
                <w:sz w:val="18"/>
              </w:rPr>
            </w:pPr>
          </w:p>
        </w:tc>
        <w:tc>
          <w:tcPr>
            <w:tcW w:w="234" w:type="dxa"/>
            <w:tcBorders>
              <w:right w:val="single" w:sz="8" w:space="0" w:color="000000"/>
            </w:tcBorders>
            <w:shd w:val="clear" w:color="auto" w:fill="D0CECE"/>
          </w:tcPr>
          <w:p>
            <w:pPr>
              <w:pStyle w:val="TableParagraph"/>
              <w:rPr>
                <w:rFonts w:ascii="Times New Roman"/>
                <w:sz w:val="18"/>
              </w:rPr>
            </w:pPr>
          </w:p>
        </w:tc>
      </w:tr>
      <w:tr>
        <w:trPr>
          <w:trHeight w:val="978" w:hRule="atLeast"/>
        </w:trPr>
        <w:tc>
          <w:tcPr>
            <w:tcW w:w="1176" w:type="dxa"/>
            <w:vMerge/>
            <w:tcBorders>
              <w:top w:val="nil"/>
              <w:left w:val="single" w:sz="8" w:space="0" w:color="000000"/>
            </w:tcBorders>
          </w:tcPr>
          <w:p>
            <w:pPr>
              <w:rPr>
                <w:sz w:val="2"/>
                <w:szCs w:val="2"/>
              </w:rPr>
            </w:pPr>
          </w:p>
        </w:tc>
        <w:tc>
          <w:tcPr>
            <w:tcW w:w="2175" w:type="dxa"/>
            <w:tcBorders>
              <w:top w:val="single" w:sz="8" w:space="0" w:color="000000"/>
              <w:bottom w:val="single" w:sz="8" w:space="0" w:color="000000"/>
              <w:right w:val="single" w:sz="8" w:space="0" w:color="000000"/>
            </w:tcBorders>
            <w:shd w:val="clear" w:color="auto" w:fill="FFF1CC"/>
          </w:tcPr>
          <w:p>
            <w:pPr>
              <w:pStyle w:val="TableParagraph"/>
              <w:spacing w:before="2"/>
              <w:rPr>
                <w:rFonts w:ascii="Times New Roman"/>
                <w:sz w:val="21"/>
              </w:rPr>
            </w:pPr>
          </w:p>
          <w:p>
            <w:pPr>
              <w:pStyle w:val="TableParagraph"/>
              <w:ind w:left="74"/>
              <w:rPr>
                <w:sz w:val="20"/>
              </w:rPr>
            </w:pPr>
            <w:r>
              <w:rPr>
                <w:sz w:val="20"/>
              </w:rPr>
              <w:t>28. sistema informático académico (SICAH)</w:t>
            </w:r>
          </w:p>
        </w:tc>
        <w:tc>
          <w:tcPr>
            <w:tcW w:w="1135" w:type="dxa"/>
            <w:tcBorders>
              <w:left w:val="single" w:sz="8" w:space="0" w:color="000000"/>
            </w:tcBorders>
          </w:tcPr>
          <w:p>
            <w:pPr>
              <w:pStyle w:val="TableParagraph"/>
              <w:spacing w:before="1"/>
              <w:ind w:left="69" w:right="94"/>
              <w:rPr>
                <w:sz w:val="20"/>
              </w:rPr>
            </w:pPr>
            <w:r>
              <w:rPr>
                <w:sz w:val="20"/>
              </w:rPr>
              <w:t>1er trimestre año 2, 3,4 y</w:t>
            </w:r>
          </w:p>
          <w:p>
            <w:pPr>
              <w:pStyle w:val="TableParagraph"/>
              <w:spacing w:line="225" w:lineRule="exact"/>
              <w:ind w:left="69"/>
              <w:rPr>
                <w:sz w:val="20"/>
              </w:rPr>
            </w:pPr>
            <w:r>
              <w:rPr>
                <w:w w:val="99"/>
                <w:sz w:val="20"/>
              </w:rPr>
              <w:t>5</w:t>
            </w: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7" w:type="dx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shd w:val="clear" w:color="auto" w:fill="ADAAAA"/>
          </w:tcPr>
          <w:p>
            <w:pPr>
              <w:pStyle w:val="TableParagraph"/>
              <w:rPr>
                <w:rFonts w:ascii="Times New Roman"/>
                <w:sz w:val="18"/>
              </w:rPr>
            </w:pPr>
          </w:p>
        </w:tc>
        <w:tc>
          <w:tcPr>
            <w:tcW w:w="235" w:type="dxa"/>
          </w:tcPr>
          <w:p>
            <w:pPr>
              <w:pStyle w:val="TableParagraph"/>
              <w:rPr>
                <w:rFonts w:ascii="Times New Roman"/>
                <w:sz w:val="18"/>
              </w:rPr>
            </w:pPr>
          </w:p>
        </w:tc>
        <w:tc>
          <w:tcPr>
            <w:tcW w:w="235" w:type="dxa"/>
          </w:tcPr>
          <w:p>
            <w:pPr>
              <w:pStyle w:val="TableParagraph"/>
              <w:rPr>
                <w:rFonts w:ascii="Times New Roman"/>
                <w:sz w:val="18"/>
              </w:rPr>
            </w:pPr>
          </w:p>
        </w:tc>
        <w:tc>
          <w:tcPr>
            <w:tcW w:w="237" w:type="dxa"/>
          </w:tcPr>
          <w:p>
            <w:pPr>
              <w:pStyle w:val="TableParagraph"/>
              <w:rPr>
                <w:rFonts w:ascii="Times New Roman"/>
                <w:sz w:val="18"/>
              </w:rPr>
            </w:pPr>
          </w:p>
        </w:tc>
        <w:tc>
          <w:tcPr>
            <w:tcW w:w="235" w:type="dxa"/>
            <w:shd w:val="clear" w:color="auto" w:fill="ADAAAA"/>
          </w:tcPr>
          <w:p>
            <w:pPr>
              <w:pStyle w:val="TableParagraph"/>
              <w:rPr>
                <w:rFonts w:ascii="Times New Roman"/>
                <w:sz w:val="18"/>
              </w:rPr>
            </w:pPr>
          </w:p>
        </w:tc>
        <w:tc>
          <w:tcPr>
            <w:tcW w:w="234" w:type="dx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shd w:val="clear" w:color="auto" w:fill="ADAAAA"/>
          </w:tcPr>
          <w:p>
            <w:pPr>
              <w:pStyle w:val="TableParagraph"/>
              <w:rPr>
                <w:rFonts w:ascii="Times New Roman"/>
                <w:sz w:val="18"/>
              </w:rPr>
            </w:pPr>
          </w:p>
        </w:tc>
        <w:tc>
          <w:tcPr>
            <w:tcW w:w="236" w:type="dxa"/>
          </w:tcPr>
          <w:p>
            <w:pPr>
              <w:pStyle w:val="TableParagraph"/>
              <w:rPr>
                <w:rFonts w:ascii="Times New Roman"/>
                <w:sz w:val="18"/>
              </w:rPr>
            </w:pPr>
          </w:p>
        </w:tc>
        <w:tc>
          <w:tcPr>
            <w:tcW w:w="234" w:type="dxa"/>
          </w:tcPr>
          <w:p>
            <w:pPr>
              <w:pStyle w:val="TableParagraph"/>
              <w:rPr>
                <w:rFonts w:ascii="Times New Roman"/>
                <w:sz w:val="18"/>
              </w:rPr>
            </w:pPr>
          </w:p>
        </w:tc>
        <w:tc>
          <w:tcPr>
            <w:tcW w:w="234" w:type="dxa"/>
            <w:tcBorders>
              <w:right w:val="single" w:sz="8" w:space="0" w:color="000000"/>
            </w:tcBorders>
          </w:tcPr>
          <w:p>
            <w:pPr>
              <w:pStyle w:val="TableParagraph"/>
              <w:rPr>
                <w:rFonts w:ascii="Times New Roman"/>
                <w:sz w:val="18"/>
              </w:rPr>
            </w:pPr>
          </w:p>
        </w:tc>
      </w:tr>
    </w:tbl>
    <w:p>
      <w:pPr>
        <w:spacing w:after="0"/>
        <w:rPr>
          <w:rFonts w:ascii="Times New Roman"/>
          <w:sz w:val="18"/>
        </w:rPr>
        <w:sectPr>
          <w:pgSz w:w="11910" w:h="16840"/>
          <w:pgMar w:header="0" w:footer="922" w:top="1580" w:bottom="1120" w:left="620" w:right="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2038"/>
        <w:gridCol w:w="1099"/>
        <w:gridCol w:w="240"/>
        <w:gridCol w:w="243"/>
        <w:gridCol w:w="243"/>
        <w:gridCol w:w="243"/>
        <w:gridCol w:w="243"/>
        <w:gridCol w:w="243"/>
        <w:gridCol w:w="241"/>
        <w:gridCol w:w="243"/>
        <w:gridCol w:w="243"/>
        <w:gridCol w:w="243"/>
        <w:gridCol w:w="243"/>
        <w:gridCol w:w="243"/>
        <w:gridCol w:w="241"/>
        <w:gridCol w:w="243"/>
        <w:gridCol w:w="243"/>
        <w:gridCol w:w="243"/>
        <w:gridCol w:w="243"/>
        <w:gridCol w:w="243"/>
        <w:gridCol w:w="241"/>
        <w:gridCol w:w="243"/>
      </w:tblGrid>
      <w:tr>
        <w:trPr>
          <w:trHeight w:val="482" w:hRule="atLeast"/>
        </w:trPr>
        <w:tc>
          <w:tcPr>
            <w:tcW w:w="4373" w:type="dxa"/>
            <w:gridSpan w:val="3"/>
            <w:tcBorders>
              <w:left w:val="single" w:sz="8" w:space="0" w:color="000000"/>
            </w:tcBorders>
            <w:shd w:val="clear" w:color="auto" w:fill="FF0000"/>
          </w:tcPr>
          <w:p>
            <w:pPr>
              <w:pStyle w:val="TableParagraph"/>
              <w:spacing w:before="1"/>
              <w:ind w:left="69"/>
              <w:rPr>
                <w:b/>
                <w:sz w:val="20"/>
              </w:rPr>
            </w:pPr>
            <w:r>
              <w:rPr>
                <w:b/>
                <w:sz w:val="20"/>
              </w:rPr>
              <w:t>DIMENSION RUWAY</w:t>
            </w:r>
          </w:p>
        </w:tc>
        <w:tc>
          <w:tcPr>
            <w:tcW w:w="969" w:type="dxa"/>
            <w:gridSpan w:val="4"/>
            <w:shd w:val="clear" w:color="auto" w:fill="6F2F9F"/>
          </w:tcPr>
          <w:p>
            <w:pPr>
              <w:pStyle w:val="TableParagraph"/>
              <w:spacing w:before="1"/>
              <w:ind w:left="259"/>
              <w:rPr>
                <w:sz w:val="20"/>
              </w:rPr>
            </w:pPr>
            <w:r>
              <w:rPr>
                <w:sz w:val="20"/>
              </w:rPr>
              <w:t>año 1</w:t>
            </w:r>
          </w:p>
        </w:tc>
        <w:tc>
          <w:tcPr>
            <w:tcW w:w="970" w:type="dxa"/>
            <w:gridSpan w:val="4"/>
            <w:shd w:val="clear" w:color="auto" w:fill="C55811"/>
          </w:tcPr>
          <w:p>
            <w:pPr>
              <w:pStyle w:val="TableParagraph"/>
              <w:spacing w:before="1"/>
              <w:ind w:left="260"/>
              <w:rPr>
                <w:sz w:val="20"/>
              </w:rPr>
            </w:pPr>
            <w:r>
              <w:rPr>
                <w:sz w:val="20"/>
              </w:rPr>
              <w:t>año 2</w:t>
            </w:r>
          </w:p>
        </w:tc>
        <w:tc>
          <w:tcPr>
            <w:tcW w:w="972" w:type="dxa"/>
            <w:gridSpan w:val="4"/>
          </w:tcPr>
          <w:p>
            <w:pPr>
              <w:pStyle w:val="TableParagraph"/>
              <w:spacing w:before="1"/>
              <w:ind w:left="257"/>
              <w:rPr>
                <w:sz w:val="20"/>
              </w:rPr>
            </w:pPr>
            <w:r>
              <w:rPr>
                <w:sz w:val="20"/>
              </w:rPr>
              <w:t>año 3</w:t>
            </w:r>
          </w:p>
        </w:tc>
        <w:tc>
          <w:tcPr>
            <w:tcW w:w="970" w:type="dxa"/>
            <w:gridSpan w:val="4"/>
            <w:shd w:val="clear" w:color="auto" w:fill="66FF33"/>
          </w:tcPr>
          <w:p>
            <w:pPr>
              <w:pStyle w:val="TableParagraph"/>
              <w:spacing w:before="1"/>
              <w:ind w:left="253"/>
              <w:rPr>
                <w:sz w:val="20"/>
              </w:rPr>
            </w:pPr>
            <w:r>
              <w:rPr>
                <w:sz w:val="20"/>
              </w:rPr>
              <w:t>año 4</w:t>
            </w:r>
          </w:p>
        </w:tc>
        <w:tc>
          <w:tcPr>
            <w:tcW w:w="970" w:type="dxa"/>
            <w:gridSpan w:val="4"/>
            <w:tcBorders>
              <w:right w:val="single" w:sz="8" w:space="0" w:color="000000"/>
            </w:tcBorders>
            <w:shd w:val="clear" w:color="auto" w:fill="FF3300"/>
          </w:tcPr>
          <w:p>
            <w:pPr>
              <w:pStyle w:val="TableParagraph"/>
              <w:spacing w:before="1"/>
              <w:ind w:left="252"/>
              <w:rPr>
                <w:sz w:val="20"/>
              </w:rPr>
            </w:pPr>
            <w:r>
              <w:rPr>
                <w:sz w:val="20"/>
              </w:rPr>
              <w:t>año 5</w:t>
            </w:r>
          </w:p>
        </w:tc>
      </w:tr>
      <w:tr>
        <w:trPr>
          <w:trHeight w:val="496" w:hRule="atLeast"/>
        </w:trPr>
        <w:tc>
          <w:tcPr>
            <w:tcW w:w="1236" w:type="dxa"/>
            <w:tcBorders>
              <w:left w:val="single" w:sz="8" w:space="0" w:color="000000"/>
            </w:tcBorders>
            <w:shd w:val="clear" w:color="auto" w:fill="FF0000"/>
          </w:tcPr>
          <w:p>
            <w:pPr>
              <w:pStyle w:val="TableParagraph"/>
              <w:spacing w:line="243" w:lineRule="exact"/>
              <w:ind w:left="69"/>
              <w:rPr>
                <w:b/>
                <w:sz w:val="20"/>
              </w:rPr>
            </w:pPr>
            <w:r>
              <w:rPr>
                <w:b/>
                <w:sz w:val="20"/>
              </w:rPr>
              <w:t>RESULTADOS</w:t>
            </w:r>
          </w:p>
        </w:tc>
        <w:tc>
          <w:tcPr>
            <w:tcW w:w="2038" w:type="dxa"/>
            <w:shd w:val="clear" w:color="auto" w:fill="FF0000"/>
          </w:tcPr>
          <w:p>
            <w:pPr>
              <w:pStyle w:val="TableParagraph"/>
              <w:spacing w:line="243" w:lineRule="exact"/>
              <w:ind w:left="74"/>
              <w:rPr>
                <w:b/>
                <w:sz w:val="20"/>
              </w:rPr>
            </w:pPr>
            <w:r>
              <w:rPr>
                <w:b/>
                <w:sz w:val="20"/>
              </w:rPr>
              <w:t>ACTIVIDADES</w:t>
            </w:r>
          </w:p>
        </w:tc>
        <w:tc>
          <w:tcPr>
            <w:tcW w:w="1099" w:type="dxa"/>
            <w:shd w:val="clear" w:color="auto" w:fill="FF0000"/>
          </w:tcPr>
          <w:p>
            <w:pPr>
              <w:pStyle w:val="TableParagraph"/>
              <w:spacing w:line="243" w:lineRule="exact"/>
              <w:ind w:left="71"/>
              <w:rPr>
                <w:b/>
                <w:sz w:val="20"/>
              </w:rPr>
            </w:pPr>
            <w:r>
              <w:rPr>
                <w:b/>
                <w:sz w:val="20"/>
              </w:rPr>
              <w:t>verificacion</w:t>
            </w:r>
          </w:p>
        </w:tc>
        <w:tc>
          <w:tcPr>
            <w:tcW w:w="240" w:type="dxa"/>
          </w:tcPr>
          <w:p>
            <w:pPr>
              <w:pStyle w:val="TableParagraph"/>
              <w:spacing w:line="243" w:lineRule="exact"/>
              <w:ind w:left="72"/>
              <w:rPr>
                <w:b/>
                <w:sz w:val="20"/>
              </w:rPr>
            </w:pPr>
            <w:r>
              <w:rPr>
                <w:b/>
                <w:w w:val="99"/>
                <w:sz w:val="20"/>
              </w:rPr>
              <w:t>1</w:t>
            </w:r>
          </w:p>
        </w:tc>
        <w:tc>
          <w:tcPr>
            <w:tcW w:w="243" w:type="dxa"/>
          </w:tcPr>
          <w:p>
            <w:pPr>
              <w:pStyle w:val="TableParagraph"/>
              <w:spacing w:line="243" w:lineRule="exact"/>
              <w:ind w:left="74"/>
              <w:rPr>
                <w:b/>
                <w:sz w:val="20"/>
              </w:rPr>
            </w:pPr>
            <w:r>
              <w:rPr>
                <w:b/>
                <w:w w:val="99"/>
                <w:sz w:val="20"/>
              </w:rPr>
              <w:t>2</w:t>
            </w:r>
          </w:p>
        </w:tc>
        <w:tc>
          <w:tcPr>
            <w:tcW w:w="243" w:type="dxa"/>
          </w:tcPr>
          <w:p>
            <w:pPr>
              <w:pStyle w:val="TableParagraph"/>
              <w:spacing w:line="243" w:lineRule="exact"/>
              <w:ind w:left="74"/>
              <w:rPr>
                <w:sz w:val="20"/>
              </w:rPr>
            </w:pPr>
            <w:r>
              <w:rPr>
                <w:w w:val="99"/>
                <w:sz w:val="20"/>
              </w:rPr>
              <w:t>3</w:t>
            </w:r>
          </w:p>
        </w:tc>
        <w:tc>
          <w:tcPr>
            <w:tcW w:w="243" w:type="dxa"/>
          </w:tcPr>
          <w:p>
            <w:pPr>
              <w:pStyle w:val="TableParagraph"/>
              <w:spacing w:line="243" w:lineRule="exact"/>
              <w:ind w:left="73"/>
              <w:rPr>
                <w:sz w:val="20"/>
              </w:rPr>
            </w:pPr>
            <w:r>
              <w:rPr>
                <w:w w:val="99"/>
                <w:sz w:val="20"/>
              </w:rPr>
              <w:t>4</w:t>
            </w:r>
          </w:p>
        </w:tc>
        <w:tc>
          <w:tcPr>
            <w:tcW w:w="243" w:type="dxa"/>
          </w:tcPr>
          <w:p>
            <w:pPr>
              <w:pStyle w:val="TableParagraph"/>
              <w:spacing w:line="243" w:lineRule="exact"/>
              <w:ind w:left="73"/>
              <w:rPr>
                <w:b/>
                <w:sz w:val="20"/>
              </w:rPr>
            </w:pPr>
            <w:r>
              <w:rPr>
                <w:b/>
                <w:w w:val="99"/>
                <w:sz w:val="20"/>
              </w:rPr>
              <w:t>1</w:t>
            </w:r>
          </w:p>
        </w:tc>
        <w:tc>
          <w:tcPr>
            <w:tcW w:w="243" w:type="dxa"/>
          </w:tcPr>
          <w:p>
            <w:pPr>
              <w:pStyle w:val="TableParagraph"/>
              <w:spacing w:line="243" w:lineRule="exact"/>
              <w:ind w:left="72"/>
              <w:rPr>
                <w:b/>
                <w:sz w:val="20"/>
              </w:rPr>
            </w:pPr>
            <w:r>
              <w:rPr>
                <w:b/>
                <w:w w:val="99"/>
                <w:sz w:val="20"/>
              </w:rPr>
              <w:t>2</w:t>
            </w:r>
          </w:p>
        </w:tc>
        <w:tc>
          <w:tcPr>
            <w:tcW w:w="241" w:type="dxa"/>
          </w:tcPr>
          <w:p>
            <w:pPr>
              <w:pStyle w:val="TableParagraph"/>
              <w:spacing w:line="243" w:lineRule="exact"/>
              <w:ind w:left="69"/>
              <w:rPr>
                <w:sz w:val="20"/>
              </w:rPr>
            </w:pPr>
            <w:r>
              <w:rPr>
                <w:w w:val="99"/>
                <w:sz w:val="20"/>
              </w:rPr>
              <w:t>3</w:t>
            </w:r>
          </w:p>
        </w:tc>
        <w:tc>
          <w:tcPr>
            <w:tcW w:w="243" w:type="dxa"/>
          </w:tcPr>
          <w:p>
            <w:pPr>
              <w:pStyle w:val="TableParagraph"/>
              <w:spacing w:line="243" w:lineRule="exact"/>
              <w:ind w:left="70"/>
              <w:rPr>
                <w:sz w:val="20"/>
              </w:rPr>
            </w:pPr>
            <w:r>
              <w:rPr>
                <w:w w:val="99"/>
                <w:sz w:val="20"/>
              </w:rPr>
              <w:t>4</w:t>
            </w:r>
          </w:p>
        </w:tc>
        <w:tc>
          <w:tcPr>
            <w:tcW w:w="243" w:type="dxa"/>
          </w:tcPr>
          <w:p>
            <w:pPr>
              <w:pStyle w:val="TableParagraph"/>
              <w:spacing w:line="243" w:lineRule="exact"/>
              <w:ind w:left="70"/>
              <w:rPr>
                <w:b/>
                <w:sz w:val="20"/>
              </w:rPr>
            </w:pPr>
            <w:r>
              <w:rPr>
                <w:b/>
                <w:w w:val="99"/>
                <w:sz w:val="20"/>
              </w:rPr>
              <w:t>1</w:t>
            </w:r>
          </w:p>
        </w:tc>
        <w:tc>
          <w:tcPr>
            <w:tcW w:w="243" w:type="dxa"/>
          </w:tcPr>
          <w:p>
            <w:pPr>
              <w:pStyle w:val="TableParagraph"/>
              <w:spacing w:line="243" w:lineRule="exact"/>
              <w:ind w:left="69"/>
              <w:rPr>
                <w:b/>
                <w:sz w:val="20"/>
              </w:rPr>
            </w:pPr>
            <w:r>
              <w:rPr>
                <w:b/>
                <w:w w:val="99"/>
                <w:sz w:val="20"/>
              </w:rPr>
              <w:t>2</w:t>
            </w:r>
          </w:p>
        </w:tc>
        <w:tc>
          <w:tcPr>
            <w:tcW w:w="243" w:type="dxa"/>
          </w:tcPr>
          <w:p>
            <w:pPr>
              <w:pStyle w:val="TableParagraph"/>
              <w:spacing w:line="243" w:lineRule="exact"/>
              <w:ind w:left="69"/>
              <w:rPr>
                <w:sz w:val="20"/>
              </w:rPr>
            </w:pPr>
            <w:r>
              <w:rPr>
                <w:w w:val="99"/>
                <w:sz w:val="20"/>
              </w:rPr>
              <w:t>3</w:t>
            </w:r>
          </w:p>
        </w:tc>
        <w:tc>
          <w:tcPr>
            <w:tcW w:w="243" w:type="dxa"/>
          </w:tcPr>
          <w:p>
            <w:pPr>
              <w:pStyle w:val="TableParagraph"/>
              <w:spacing w:line="243" w:lineRule="exact"/>
              <w:ind w:left="68"/>
              <w:rPr>
                <w:sz w:val="20"/>
              </w:rPr>
            </w:pPr>
            <w:r>
              <w:rPr>
                <w:w w:val="99"/>
                <w:sz w:val="20"/>
              </w:rPr>
              <w:t>4</w:t>
            </w:r>
          </w:p>
        </w:tc>
        <w:tc>
          <w:tcPr>
            <w:tcW w:w="241" w:type="dxa"/>
          </w:tcPr>
          <w:p>
            <w:pPr>
              <w:pStyle w:val="TableParagraph"/>
              <w:spacing w:line="243" w:lineRule="exact"/>
              <w:ind w:left="66"/>
              <w:rPr>
                <w:b/>
                <w:sz w:val="20"/>
              </w:rPr>
            </w:pPr>
            <w:r>
              <w:rPr>
                <w:b/>
                <w:w w:val="99"/>
                <w:sz w:val="20"/>
              </w:rPr>
              <w:t>1</w:t>
            </w:r>
          </w:p>
        </w:tc>
        <w:tc>
          <w:tcPr>
            <w:tcW w:w="243" w:type="dxa"/>
          </w:tcPr>
          <w:p>
            <w:pPr>
              <w:pStyle w:val="TableParagraph"/>
              <w:spacing w:line="243" w:lineRule="exact"/>
              <w:ind w:left="67"/>
              <w:rPr>
                <w:b/>
                <w:sz w:val="20"/>
              </w:rPr>
            </w:pPr>
            <w:r>
              <w:rPr>
                <w:b/>
                <w:w w:val="99"/>
                <w:sz w:val="20"/>
              </w:rPr>
              <w:t>2</w:t>
            </w:r>
          </w:p>
        </w:tc>
        <w:tc>
          <w:tcPr>
            <w:tcW w:w="243" w:type="dxa"/>
          </w:tcPr>
          <w:p>
            <w:pPr>
              <w:pStyle w:val="TableParagraph"/>
              <w:spacing w:line="243" w:lineRule="exact"/>
              <w:ind w:left="66"/>
              <w:rPr>
                <w:sz w:val="20"/>
              </w:rPr>
            </w:pPr>
            <w:r>
              <w:rPr>
                <w:w w:val="99"/>
                <w:sz w:val="20"/>
              </w:rPr>
              <w:t>3</w:t>
            </w:r>
          </w:p>
        </w:tc>
        <w:tc>
          <w:tcPr>
            <w:tcW w:w="243" w:type="dxa"/>
          </w:tcPr>
          <w:p>
            <w:pPr>
              <w:pStyle w:val="TableParagraph"/>
              <w:spacing w:line="243" w:lineRule="exact"/>
              <w:ind w:left="66"/>
              <w:rPr>
                <w:sz w:val="20"/>
              </w:rPr>
            </w:pPr>
            <w:r>
              <w:rPr>
                <w:w w:val="99"/>
                <w:sz w:val="20"/>
              </w:rPr>
              <w:t>4</w:t>
            </w:r>
          </w:p>
        </w:tc>
        <w:tc>
          <w:tcPr>
            <w:tcW w:w="243" w:type="dxa"/>
          </w:tcPr>
          <w:p>
            <w:pPr>
              <w:pStyle w:val="TableParagraph"/>
              <w:spacing w:line="243" w:lineRule="exact"/>
              <w:ind w:left="65"/>
              <w:rPr>
                <w:sz w:val="20"/>
              </w:rPr>
            </w:pPr>
            <w:r>
              <w:rPr>
                <w:w w:val="99"/>
                <w:sz w:val="20"/>
              </w:rPr>
              <w:t>1</w:t>
            </w:r>
          </w:p>
        </w:tc>
        <w:tc>
          <w:tcPr>
            <w:tcW w:w="243" w:type="dxa"/>
          </w:tcPr>
          <w:p>
            <w:pPr>
              <w:pStyle w:val="TableParagraph"/>
              <w:spacing w:line="243" w:lineRule="exact"/>
              <w:ind w:left="65"/>
              <w:rPr>
                <w:sz w:val="20"/>
              </w:rPr>
            </w:pPr>
            <w:r>
              <w:rPr>
                <w:w w:val="99"/>
                <w:sz w:val="20"/>
              </w:rPr>
              <w:t>2</w:t>
            </w:r>
          </w:p>
        </w:tc>
        <w:tc>
          <w:tcPr>
            <w:tcW w:w="241" w:type="dxa"/>
          </w:tcPr>
          <w:p>
            <w:pPr>
              <w:pStyle w:val="TableParagraph"/>
              <w:spacing w:line="243" w:lineRule="exact"/>
              <w:ind w:left="62"/>
              <w:rPr>
                <w:sz w:val="20"/>
              </w:rPr>
            </w:pPr>
            <w:r>
              <w:rPr>
                <w:w w:val="99"/>
                <w:sz w:val="20"/>
              </w:rPr>
              <w:t>3</w:t>
            </w:r>
          </w:p>
        </w:tc>
        <w:tc>
          <w:tcPr>
            <w:tcW w:w="243" w:type="dxa"/>
            <w:tcBorders>
              <w:right w:val="single" w:sz="8" w:space="0" w:color="000000"/>
            </w:tcBorders>
          </w:tcPr>
          <w:p>
            <w:pPr>
              <w:pStyle w:val="TableParagraph"/>
              <w:spacing w:line="243" w:lineRule="exact"/>
              <w:ind w:left="63"/>
              <w:rPr>
                <w:sz w:val="20"/>
              </w:rPr>
            </w:pPr>
            <w:r>
              <w:rPr>
                <w:w w:val="99"/>
                <w:sz w:val="20"/>
              </w:rPr>
              <w:t>4</w:t>
            </w:r>
          </w:p>
        </w:tc>
      </w:tr>
      <w:tr>
        <w:trPr>
          <w:trHeight w:val="734" w:hRule="atLeast"/>
        </w:trPr>
        <w:tc>
          <w:tcPr>
            <w:tcW w:w="1236" w:type="dxa"/>
            <w:vMerge w:val="restart"/>
            <w:tcBorders>
              <w:left w:val="single" w:sz="8" w:space="0" w:color="000000"/>
            </w:tcBorders>
          </w:tcPr>
          <w:p>
            <w:pPr>
              <w:pStyle w:val="TableParagraph"/>
              <w:spacing w:line="243" w:lineRule="exact"/>
              <w:ind w:left="69"/>
              <w:rPr>
                <w:sz w:val="20"/>
              </w:rPr>
            </w:pPr>
            <w:r>
              <w:rPr>
                <w:sz w:val="20"/>
              </w:rPr>
              <w:t>R.8</w:t>
            </w:r>
          </w:p>
        </w:tc>
        <w:tc>
          <w:tcPr>
            <w:tcW w:w="2038" w:type="dxa"/>
            <w:shd w:val="clear" w:color="auto" w:fill="FBE3D5"/>
          </w:tcPr>
          <w:p>
            <w:pPr>
              <w:pStyle w:val="TableParagraph"/>
              <w:ind w:left="74" w:right="139"/>
              <w:rPr>
                <w:sz w:val="20"/>
              </w:rPr>
            </w:pPr>
            <w:r>
              <w:rPr>
                <w:sz w:val="20"/>
              </w:rPr>
              <w:t>29. Diseño de apoyo a OECOMS, OECAS,</w:t>
            </w:r>
          </w:p>
        </w:tc>
        <w:tc>
          <w:tcPr>
            <w:tcW w:w="1099" w:type="dxa"/>
          </w:tcPr>
          <w:p>
            <w:pPr>
              <w:pStyle w:val="TableParagraph"/>
              <w:spacing w:line="243" w:lineRule="exact"/>
              <w:ind w:left="71"/>
              <w:rPr>
                <w:sz w:val="20"/>
              </w:rPr>
            </w:pPr>
            <w:r>
              <w:rPr>
                <w:sz w:val="20"/>
              </w:rPr>
              <w:t>2do</w:t>
            </w:r>
          </w:p>
          <w:p>
            <w:pPr>
              <w:pStyle w:val="TableParagraph"/>
              <w:spacing w:line="240" w:lineRule="atLeast"/>
              <w:ind w:left="71"/>
              <w:rPr>
                <w:sz w:val="20"/>
              </w:rPr>
            </w:pPr>
            <w:r>
              <w:rPr>
                <w:w w:val="95"/>
                <w:sz w:val="20"/>
              </w:rPr>
              <w:t>trimestre </w:t>
            </w:r>
            <w:r>
              <w:rPr>
                <w:sz w:val="20"/>
              </w:rPr>
              <w:t>c/año</w:t>
            </w:r>
          </w:p>
        </w:tc>
        <w:tc>
          <w:tcPr>
            <w:tcW w:w="240"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tcPr>
          <w:p>
            <w:pPr>
              <w:pStyle w:val="TableParagraph"/>
              <w:rPr>
                <w:rFonts w:ascii="Times New Roman"/>
                <w:sz w:val="18"/>
              </w:rPr>
            </w:pPr>
          </w:p>
        </w:tc>
        <w:tc>
          <w:tcPr>
            <w:tcW w:w="243" w:type="dxa"/>
            <w:tcBorders>
              <w:right w:val="single" w:sz="8" w:space="0" w:color="000000"/>
            </w:tcBorders>
          </w:tcPr>
          <w:p>
            <w:pPr>
              <w:pStyle w:val="TableParagraph"/>
              <w:rPr>
                <w:rFonts w:ascii="Times New Roman"/>
                <w:sz w:val="18"/>
              </w:rPr>
            </w:pPr>
          </w:p>
        </w:tc>
      </w:tr>
      <w:tr>
        <w:trPr>
          <w:trHeight w:val="732" w:hRule="atLeast"/>
        </w:trPr>
        <w:tc>
          <w:tcPr>
            <w:tcW w:w="1236" w:type="dxa"/>
            <w:vMerge/>
            <w:tcBorders>
              <w:top w:val="nil"/>
              <w:left w:val="single" w:sz="8" w:space="0" w:color="000000"/>
            </w:tcBorders>
          </w:tcPr>
          <w:p>
            <w:pPr>
              <w:rPr>
                <w:sz w:val="2"/>
                <w:szCs w:val="2"/>
              </w:rPr>
            </w:pPr>
          </w:p>
        </w:tc>
        <w:tc>
          <w:tcPr>
            <w:tcW w:w="2038" w:type="dxa"/>
            <w:shd w:val="clear" w:color="auto" w:fill="FBE3D5"/>
          </w:tcPr>
          <w:p>
            <w:pPr>
              <w:pStyle w:val="TableParagraph"/>
              <w:ind w:left="74" w:right="218"/>
              <w:rPr>
                <w:sz w:val="20"/>
              </w:rPr>
            </w:pPr>
            <w:r>
              <w:rPr>
                <w:sz w:val="20"/>
              </w:rPr>
              <w:t>30. Ejecución de pasantía en OECOMS</w:t>
            </w:r>
          </w:p>
        </w:tc>
        <w:tc>
          <w:tcPr>
            <w:tcW w:w="1099" w:type="dxa"/>
          </w:tcPr>
          <w:p>
            <w:pPr>
              <w:pStyle w:val="TableParagraph"/>
              <w:ind w:left="71" w:right="231"/>
              <w:rPr>
                <w:sz w:val="20"/>
              </w:rPr>
            </w:pPr>
            <w:r>
              <w:rPr>
                <w:sz w:val="20"/>
              </w:rPr>
              <w:t>2do y 4to semestre</w:t>
            </w:r>
          </w:p>
          <w:p>
            <w:pPr>
              <w:pStyle w:val="TableParagraph"/>
              <w:spacing w:line="224" w:lineRule="exact"/>
              <w:ind w:left="71"/>
              <w:rPr>
                <w:sz w:val="20"/>
              </w:rPr>
            </w:pPr>
            <w:r>
              <w:rPr>
                <w:sz w:val="20"/>
              </w:rPr>
              <w:t>C/año</w:t>
            </w:r>
          </w:p>
        </w:tc>
        <w:tc>
          <w:tcPr>
            <w:tcW w:w="240"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D0CECE"/>
          </w:tcPr>
          <w:p>
            <w:pPr>
              <w:pStyle w:val="TableParagraph"/>
              <w:rPr>
                <w:rFonts w:ascii="Times New Roman"/>
                <w:sz w:val="18"/>
              </w:rPr>
            </w:pPr>
          </w:p>
        </w:tc>
        <w:tc>
          <w:tcPr>
            <w:tcW w:w="243" w:type="dxa"/>
            <w:tcBorders>
              <w:right w:val="single" w:sz="8" w:space="0" w:color="000000"/>
            </w:tcBorders>
            <w:shd w:val="clear" w:color="auto" w:fill="ADAAAA"/>
          </w:tcPr>
          <w:p>
            <w:pPr>
              <w:pStyle w:val="TableParagraph"/>
              <w:rPr>
                <w:rFonts w:ascii="Times New Roman"/>
                <w:sz w:val="18"/>
              </w:rPr>
            </w:pPr>
          </w:p>
        </w:tc>
      </w:tr>
      <w:tr>
        <w:trPr>
          <w:trHeight w:val="489" w:hRule="atLeast"/>
        </w:trPr>
        <w:tc>
          <w:tcPr>
            <w:tcW w:w="1236" w:type="dxa"/>
            <w:vMerge w:val="restart"/>
            <w:tcBorders>
              <w:left w:val="single" w:sz="8" w:space="0" w:color="000000"/>
            </w:tcBorders>
          </w:tcPr>
          <w:p>
            <w:pPr>
              <w:pStyle w:val="TableParagraph"/>
              <w:spacing w:line="243" w:lineRule="exact"/>
              <w:ind w:left="69"/>
              <w:rPr>
                <w:sz w:val="20"/>
              </w:rPr>
            </w:pPr>
            <w:r>
              <w:rPr>
                <w:sz w:val="20"/>
              </w:rPr>
              <w:t>R.9</w:t>
            </w:r>
          </w:p>
        </w:tc>
        <w:tc>
          <w:tcPr>
            <w:tcW w:w="2038" w:type="dxa"/>
            <w:shd w:val="clear" w:color="auto" w:fill="FBE3D5"/>
          </w:tcPr>
          <w:p>
            <w:pPr>
              <w:pStyle w:val="TableParagraph"/>
              <w:spacing w:line="243" w:lineRule="exact"/>
              <w:ind w:left="74"/>
              <w:rPr>
                <w:sz w:val="20"/>
              </w:rPr>
            </w:pPr>
            <w:r>
              <w:rPr>
                <w:sz w:val="20"/>
              </w:rPr>
              <w:t>31. Apoyo a Complejos</w:t>
            </w:r>
          </w:p>
          <w:p>
            <w:pPr>
              <w:pStyle w:val="TableParagraph"/>
              <w:spacing w:line="225" w:lineRule="exact"/>
              <w:ind w:left="74"/>
              <w:rPr>
                <w:sz w:val="20"/>
              </w:rPr>
            </w:pPr>
            <w:r>
              <w:rPr>
                <w:sz w:val="20"/>
              </w:rPr>
              <w:t>Productivos</w:t>
            </w:r>
          </w:p>
        </w:tc>
        <w:tc>
          <w:tcPr>
            <w:tcW w:w="1099" w:type="dxa"/>
          </w:tcPr>
          <w:p>
            <w:pPr>
              <w:pStyle w:val="TableParagraph"/>
              <w:spacing w:line="243" w:lineRule="exact"/>
              <w:ind w:left="71"/>
              <w:rPr>
                <w:sz w:val="20"/>
              </w:rPr>
            </w:pPr>
            <w:r>
              <w:rPr>
                <w:sz w:val="20"/>
              </w:rPr>
              <w:t>Abierto</w:t>
            </w:r>
          </w:p>
          <w:p>
            <w:pPr>
              <w:pStyle w:val="TableParagraph"/>
              <w:spacing w:line="225" w:lineRule="exact"/>
              <w:ind w:left="71"/>
              <w:rPr>
                <w:sz w:val="20"/>
              </w:rPr>
            </w:pPr>
            <w:r>
              <w:rPr>
                <w:sz w:val="20"/>
              </w:rPr>
              <w:t>c/año</w:t>
            </w:r>
          </w:p>
        </w:tc>
        <w:tc>
          <w:tcPr>
            <w:tcW w:w="240"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Borders>
              <w:right w:val="single" w:sz="8" w:space="0" w:color="000000"/>
            </w:tcBorders>
            <w:shd w:val="clear" w:color="auto" w:fill="ADAAAA"/>
          </w:tcPr>
          <w:p>
            <w:pPr>
              <w:pStyle w:val="TableParagraph"/>
              <w:rPr>
                <w:rFonts w:ascii="Times New Roman"/>
                <w:sz w:val="18"/>
              </w:rPr>
            </w:pPr>
          </w:p>
        </w:tc>
      </w:tr>
      <w:tr>
        <w:trPr>
          <w:trHeight w:val="731" w:hRule="atLeast"/>
        </w:trPr>
        <w:tc>
          <w:tcPr>
            <w:tcW w:w="1236" w:type="dxa"/>
            <w:vMerge/>
            <w:tcBorders>
              <w:top w:val="nil"/>
              <w:left w:val="single" w:sz="8" w:space="0" w:color="000000"/>
            </w:tcBorders>
          </w:tcPr>
          <w:p>
            <w:pPr>
              <w:rPr>
                <w:sz w:val="2"/>
                <w:szCs w:val="2"/>
              </w:rPr>
            </w:pPr>
          </w:p>
        </w:tc>
        <w:tc>
          <w:tcPr>
            <w:tcW w:w="2038" w:type="dxa"/>
            <w:shd w:val="clear" w:color="auto" w:fill="FBE3D5"/>
          </w:tcPr>
          <w:p>
            <w:pPr>
              <w:pStyle w:val="TableParagraph"/>
              <w:ind w:left="74"/>
              <w:rPr>
                <w:sz w:val="20"/>
              </w:rPr>
            </w:pPr>
            <w:r>
              <w:rPr>
                <w:sz w:val="20"/>
              </w:rPr>
              <w:t>32. Implementación de Complejos Productivos</w:t>
            </w:r>
          </w:p>
        </w:tc>
        <w:tc>
          <w:tcPr>
            <w:tcW w:w="1099" w:type="dxa"/>
          </w:tcPr>
          <w:p>
            <w:pPr>
              <w:pStyle w:val="TableParagraph"/>
              <w:ind w:left="71" w:right="231"/>
              <w:rPr>
                <w:sz w:val="20"/>
              </w:rPr>
            </w:pPr>
            <w:r>
              <w:rPr>
                <w:sz w:val="20"/>
              </w:rPr>
              <w:t>4to </w:t>
            </w:r>
            <w:r>
              <w:rPr>
                <w:w w:val="95"/>
                <w:sz w:val="20"/>
              </w:rPr>
              <w:t>trimestre</w:t>
            </w:r>
          </w:p>
          <w:p>
            <w:pPr>
              <w:pStyle w:val="TableParagraph"/>
              <w:spacing w:line="224" w:lineRule="exact"/>
              <w:ind w:left="71"/>
              <w:rPr>
                <w:sz w:val="20"/>
              </w:rPr>
            </w:pPr>
            <w:r>
              <w:rPr>
                <w:sz w:val="20"/>
              </w:rPr>
              <w:t>c/año</w:t>
            </w:r>
          </w:p>
        </w:tc>
        <w:tc>
          <w:tcPr>
            <w:tcW w:w="240"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1"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1"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3" w:type="dxa"/>
            <w:shd w:val="clear" w:color="auto" w:fill="D0CECE"/>
          </w:tcPr>
          <w:p>
            <w:pPr>
              <w:pStyle w:val="TableParagraph"/>
              <w:rPr>
                <w:rFonts w:ascii="Times New Roman"/>
                <w:sz w:val="18"/>
              </w:rPr>
            </w:pPr>
          </w:p>
        </w:tc>
        <w:tc>
          <w:tcPr>
            <w:tcW w:w="241" w:type="dxa"/>
            <w:shd w:val="clear" w:color="auto" w:fill="D0CECE"/>
          </w:tcPr>
          <w:p>
            <w:pPr>
              <w:pStyle w:val="TableParagraph"/>
              <w:rPr>
                <w:rFonts w:ascii="Times New Roman"/>
                <w:sz w:val="18"/>
              </w:rPr>
            </w:pPr>
          </w:p>
        </w:tc>
        <w:tc>
          <w:tcPr>
            <w:tcW w:w="243" w:type="dxa"/>
            <w:tcBorders>
              <w:right w:val="single" w:sz="8" w:space="0" w:color="000000"/>
            </w:tcBorders>
            <w:shd w:val="clear" w:color="auto" w:fill="ADAAAA"/>
          </w:tcPr>
          <w:p>
            <w:pPr>
              <w:pStyle w:val="TableParagraph"/>
              <w:rPr>
                <w:rFonts w:ascii="Times New Roman"/>
                <w:sz w:val="18"/>
              </w:rPr>
            </w:pPr>
          </w:p>
        </w:tc>
      </w:tr>
      <w:tr>
        <w:trPr>
          <w:trHeight w:val="731" w:hRule="atLeast"/>
        </w:trPr>
        <w:tc>
          <w:tcPr>
            <w:tcW w:w="1236" w:type="dxa"/>
            <w:vMerge w:val="restart"/>
            <w:tcBorders>
              <w:left w:val="single" w:sz="8" w:space="0" w:color="000000"/>
            </w:tcBorders>
          </w:tcPr>
          <w:p>
            <w:pPr>
              <w:pStyle w:val="TableParagraph"/>
              <w:spacing w:line="243" w:lineRule="exact"/>
              <w:ind w:left="69"/>
              <w:rPr>
                <w:sz w:val="20"/>
              </w:rPr>
            </w:pPr>
            <w:r>
              <w:rPr>
                <w:sz w:val="20"/>
              </w:rPr>
              <w:t>R.10</w:t>
            </w:r>
          </w:p>
        </w:tc>
        <w:tc>
          <w:tcPr>
            <w:tcW w:w="2038" w:type="dxa"/>
            <w:shd w:val="clear" w:color="auto" w:fill="FBE3D5"/>
          </w:tcPr>
          <w:p>
            <w:pPr>
              <w:pStyle w:val="TableParagraph"/>
              <w:ind w:left="74"/>
              <w:rPr>
                <w:sz w:val="20"/>
              </w:rPr>
            </w:pPr>
            <w:r>
              <w:rPr>
                <w:sz w:val="20"/>
              </w:rPr>
              <w:t>33. Infraestructura y equipamiento para</w:t>
            </w:r>
          </w:p>
          <w:p>
            <w:pPr>
              <w:pStyle w:val="TableParagraph"/>
              <w:spacing w:line="223" w:lineRule="exact"/>
              <w:ind w:left="74"/>
              <w:rPr>
                <w:sz w:val="20"/>
              </w:rPr>
            </w:pPr>
            <w:r>
              <w:rPr>
                <w:sz w:val="20"/>
              </w:rPr>
              <w:t>carreras.</w:t>
            </w:r>
          </w:p>
        </w:tc>
        <w:tc>
          <w:tcPr>
            <w:tcW w:w="1099" w:type="dxa"/>
          </w:tcPr>
          <w:p>
            <w:pPr>
              <w:pStyle w:val="TableParagraph"/>
              <w:ind w:left="71" w:right="231"/>
              <w:rPr>
                <w:sz w:val="20"/>
              </w:rPr>
            </w:pPr>
            <w:r>
              <w:rPr>
                <w:sz w:val="20"/>
              </w:rPr>
              <w:t>3to </w:t>
            </w:r>
            <w:r>
              <w:rPr>
                <w:w w:val="95"/>
                <w:sz w:val="20"/>
              </w:rPr>
              <w:t>trimestre</w:t>
            </w:r>
          </w:p>
          <w:p>
            <w:pPr>
              <w:pStyle w:val="TableParagraph"/>
              <w:spacing w:line="223" w:lineRule="exact"/>
              <w:ind w:left="71"/>
              <w:rPr>
                <w:sz w:val="20"/>
              </w:rPr>
            </w:pPr>
            <w:r>
              <w:rPr>
                <w:sz w:val="20"/>
              </w:rPr>
              <w:t>c/año</w:t>
            </w:r>
          </w:p>
        </w:tc>
        <w:tc>
          <w:tcPr>
            <w:tcW w:w="240"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1"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Borders>
              <w:right w:val="single" w:sz="8" w:space="0" w:color="000000"/>
            </w:tcBorders>
          </w:tcPr>
          <w:p>
            <w:pPr>
              <w:pStyle w:val="TableParagraph"/>
              <w:rPr>
                <w:rFonts w:ascii="Times New Roman"/>
                <w:sz w:val="18"/>
              </w:rPr>
            </w:pPr>
          </w:p>
        </w:tc>
      </w:tr>
      <w:tr>
        <w:trPr>
          <w:trHeight w:val="734" w:hRule="atLeast"/>
        </w:trPr>
        <w:tc>
          <w:tcPr>
            <w:tcW w:w="1236" w:type="dxa"/>
            <w:vMerge/>
            <w:tcBorders>
              <w:top w:val="nil"/>
              <w:left w:val="single" w:sz="8" w:space="0" w:color="000000"/>
            </w:tcBorders>
          </w:tcPr>
          <w:p>
            <w:pPr>
              <w:rPr>
                <w:sz w:val="2"/>
                <w:szCs w:val="2"/>
              </w:rPr>
            </w:pPr>
          </w:p>
        </w:tc>
        <w:tc>
          <w:tcPr>
            <w:tcW w:w="2038" w:type="dxa"/>
            <w:shd w:val="clear" w:color="auto" w:fill="FBE3D5"/>
          </w:tcPr>
          <w:p>
            <w:pPr>
              <w:pStyle w:val="TableParagraph"/>
              <w:ind w:left="74"/>
              <w:rPr>
                <w:sz w:val="20"/>
              </w:rPr>
            </w:pPr>
            <w:r>
              <w:rPr>
                <w:sz w:val="20"/>
              </w:rPr>
              <w:t>34. infraestructura y servicios de residencia</w:t>
            </w:r>
          </w:p>
        </w:tc>
        <w:tc>
          <w:tcPr>
            <w:tcW w:w="1099" w:type="dxa"/>
          </w:tcPr>
          <w:p>
            <w:pPr>
              <w:pStyle w:val="TableParagraph"/>
              <w:ind w:left="71" w:right="231"/>
              <w:rPr>
                <w:sz w:val="20"/>
              </w:rPr>
            </w:pPr>
            <w:r>
              <w:rPr>
                <w:sz w:val="20"/>
              </w:rPr>
              <w:t>3er </w:t>
            </w:r>
            <w:r>
              <w:rPr>
                <w:w w:val="95"/>
                <w:sz w:val="20"/>
              </w:rPr>
              <w:t>trimestre</w:t>
            </w:r>
          </w:p>
          <w:p>
            <w:pPr>
              <w:pStyle w:val="TableParagraph"/>
              <w:spacing w:line="225" w:lineRule="exact"/>
              <w:ind w:left="71"/>
              <w:rPr>
                <w:sz w:val="20"/>
              </w:rPr>
            </w:pPr>
            <w:r>
              <w:rPr>
                <w:sz w:val="20"/>
              </w:rPr>
              <w:t>c/año</w:t>
            </w:r>
          </w:p>
        </w:tc>
        <w:tc>
          <w:tcPr>
            <w:tcW w:w="240"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1"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Borders>
              <w:right w:val="single" w:sz="8" w:space="0" w:color="000000"/>
            </w:tcBorders>
          </w:tcPr>
          <w:p>
            <w:pPr>
              <w:pStyle w:val="TableParagraph"/>
              <w:rPr>
                <w:rFonts w:ascii="Times New Roman"/>
                <w:sz w:val="18"/>
              </w:rPr>
            </w:pPr>
          </w:p>
        </w:tc>
      </w:tr>
      <w:tr>
        <w:trPr>
          <w:trHeight w:val="731" w:hRule="atLeast"/>
        </w:trPr>
        <w:tc>
          <w:tcPr>
            <w:tcW w:w="1236" w:type="dxa"/>
            <w:vMerge/>
            <w:tcBorders>
              <w:top w:val="nil"/>
              <w:left w:val="single" w:sz="8" w:space="0" w:color="000000"/>
            </w:tcBorders>
          </w:tcPr>
          <w:p>
            <w:pPr>
              <w:rPr>
                <w:sz w:val="2"/>
                <w:szCs w:val="2"/>
              </w:rPr>
            </w:pPr>
          </w:p>
        </w:tc>
        <w:tc>
          <w:tcPr>
            <w:tcW w:w="2038" w:type="dxa"/>
            <w:shd w:val="clear" w:color="auto" w:fill="FBE3D5"/>
          </w:tcPr>
          <w:p>
            <w:pPr>
              <w:pStyle w:val="TableParagraph"/>
              <w:ind w:left="74"/>
              <w:rPr>
                <w:sz w:val="20"/>
              </w:rPr>
            </w:pPr>
            <w:r>
              <w:rPr>
                <w:sz w:val="20"/>
              </w:rPr>
              <w:t>35. ordenamiento espacial</w:t>
            </w:r>
          </w:p>
        </w:tc>
        <w:tc>
          <w:tcPr>
            <w:tcW w:w="1099" w:type="dxa"/>
          </w:tcPr>
          <w:p>
            <w:pPr>
              <w:pStyle w:val="TableParagraph"/>
              <w:ind w:left="71" w:right="231"/>
              <w:rPr>
                <w:sz w:val="20"/>
              </w:rPr>
            </w:pPr>
            <w:r>
              <w:rPr>
                <w:sz w:val="20"/>
              </w:rPr>
              <w:t>3er </w:t>
            </w:r>
            <w:r>
              <w:rPr>
                <w:w w:val="95"/>
                <w:sz w:val="20"/>
              </w:rPr>
              <w:t>trimestre</w:t>
            </w:r>
          </w:p>
          <w:p>
            <w:pPr>
              <w:pStyle w:val="TableParagraph"/>
              <w:spacing w:line="224" w:lineRule="exact"/>
              <w:ind w:left="71"/>
              <w:rPr>
                <w:sz w:val="20"/>
              </w:rPr>
            </w:pPr>
            <w:r>
              <w:rPr>
                <w:sz w:val="20"/>
              </w:rPr>
              <w:t>c/año</w:t>
            </w:r>
          </w:p>
        </w:tc>
        <w:tc>
          <w:tcPr>
            <w:tcW w:w="240"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1" w:type="dxa"/>
          </w:tcPr>
          <w:p>
            <w:pPr>
              <w:pStyle w:val="TableParagraph"/>
              <w:rPr>
                <w:rFonts w:ascii="Times New Roman"/>
                <w:sz w:val="18"/>
              </w:rPr>
            </w:pPr>
          </w:p>
        </w:tc>
        <w:tc>
          <w:tcPr>
            <w:tcW w:w="243" w:type="dxa"/>
          </w:tcPr>
          <w:p>
            <w:pPr>
              <w:pStyle w:val="TableParagraph"/>
              <w:rPr>
                <w:rFonts w:ascii="Times New Roman"/>
                <w:sz w:val="18"/>
              </w:rPr>
            </w:pPr>
          </w:p>
        </w:tc>
        <w:tc>
          <w:tcPr>
            <w:tcW w:w="243" w:type="dxa"/>
            <w:shd w:val="clear" w:color="auto" w:fill="ADAAA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3" w:type="dxa"/>
          </w:tcPr>
          <w:p>
            <w:pPr>
              <w:pStyle w:val="TableParagraph"/>
              <w:rPr>
                <w:rFonts w:ascii="Times New Roman"/>
                <w:sz w:val="18"/>
              </w:rPr>
            </w:pPr>
          </w:p>
        </w:tc>
        <w:tc>
          <w:tcPr>
            <w:tcW w:w="241" w:type="dxa"/>
            <w:shd w:val="clear" w:color="auto" w:fill="ADAAAA"/>
          </w:tcPr>
          <w:p>
            <w:pPr>
              <w:pStyle w:val="TableParagraph"/>
              <w:rPr>
                <w:rFonts w:ascii="Times New Roman"/>
                <w:sz w:val="18"/>
              </w:rPr>
            </w:pPr>
          </w:p>
        </w:tc>
        <w:tc>
          <w:tcPr>
            <w:tcW w:w="243" w:type="dxa"/>
            <w:tcBorders>
              <w:right w:val="single" w:sz="8" w:space="0" w:color="000000"/>
            </w:tcBorders>
          </w:tcPr>
          <w:p>
            <w:pPr>
              <w:pStyle w:val="TableParagraph"/>
              <w:rPr>
                <w:rFonts w:ascii="Times New Roman"/>
                <w:sz w:val="18"/>
              </w:rPr>
            </w:pPr>
          </w:p>
        </w:tc>
      </w:tr>
    </w:tbl>
    <w:p>
      <w:pPr>
        <w:spacing w:after="0"/>
        <w:rPr>
          <w:rFonts w:ascii="Times New Roman"/>
          <w:sz w:val="18"/>
        </w:rPr>
        <w:sectPr>
          <w:pgSz w:w="11910" w:h="16840"/>
          <w:pgMar w:header="0" w:footer="922" w:top="1580" w:bottom="1120" w:left="620" w:right="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2"/>
        </w:rPr>
      </w:pPr>
    </w:p>
    <w:tbl>
      <w:tblPr>
        <w:tblW w:w="0" w:type="auto"/>
        <w:jc w:val="left"/>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1741"/>
        <w:gridCol w:w="1196"/>
        <w:gridCol w:w="253"/>
        <w:gridCol w:w="253"/>
        <w:gridCol w:w="253"/>
        <w:gridCol w:w="253"/>
        <w:gridCol w:w="253"/>
        <w:gridCol w:w="253"/>
        <w:gridCol w:w="253"/>
        <w:gridCol w:w="253"/>
        <w:gridCol w:w="253"/>
        <w:gridCol w:w="253"/>
        <w:gridCol w:w="253"/>
        <w:gridCol w:w="253"/>
        <w:gridCol w:w="254"/>
        <w:gridCol w:w="253"/>
        <w:gridCol w:w="253"/>
        <w:gridCol w:w="253"/>
        <w:gridCol w:w="253"/>
        <w:gridCol w:w="253"/>
        <w:gridCol w:w="253"/>
        <w:gridCol w:w="253"/>
      </w:tblGrid>
      <w:tr>
        <w:trPr>
          <w:trHeight w:val="542" w:hRule="atLeast"/>
        </w:trPr>
        <w:tc>
          <w:tcPr>
            <w:tcW w:w="4173" w:type="dxa"/>
            <w:gridSpan w:val="3"/>
            <w:tcBorders>
              <w:left w:val="single" w:sz="8" w:space="0" w:color="000000"/>
            </w:tcBorders>
            <w:shd w:val="clear" w:color="auto" w:fill="5B9BD4"/>
          </w:tcPr>
          <w:p>
            <w:pPr>
              <w:pStyle w:val="TableParagraph"/>
              <w:spacing w:before="1"/>
              <w:ind w:left="69"/>
              <w:rPr>
                <w:b/>
                <w:sz w:val="20"/>
              </w:rPr>
            </w:pPr>
            <w:r>
              <w:rPr>
                <w:b/>
                <w:sz w:val="20"/>
              </w:rPr>
              <w:t>DIMENSION MUNAY</w:t>
            </w:r>
          </w:p>
        </w:tc>
        <w:tc>
          <w:tcPr>
            <w:tcW w:w="1012" w:type="dxa"/>
            <w:gridSpan w:val="4"/>
            <w:shd w:val="clear" w:color="auto" w:fill="6F2F9F"/>
          </w:tcPr>
          <w:p>
            <w:pPr>
              <w:pStyle w:val="TableParagraph"/>
              <w:spacing w:line="268" w:lineRule="exact"/>
              <w:ind w:left="257"/>
              <w:rPr>
                <w:sz w:val="22"/>
              </w:rPr>
            </w:pPr>
            <w:r>
              <w:rPr>
                <w:sz w:val="22"/>
              </w:rPr>
              <w:t>año 1</w:t>
            </w:r>
          </w:p>
        </w:tc>
        <w:tc>
          <w:tcPr>
            <w:tcW w:w="1012" w:type="dxa"/>
            <w:gridSpan w:val="4"/>
            <w:shd w:val="clear" w:color="auto" w:fill="C55811"/>
          </w:tcPr>
          <w:p>
            <w:pPr>
              <w:pStyle w:val="TableParagraph"/>
              <w:spacing w:line="268" w:lineRule="exact"/>
              <w:ind w:left="254"/>
              <w:rPr>
                <w:sz w:val="22"/>
              </w:rPr>
            </w:pPr>
            <w:r>
              <w:rPr>
                <w:sz w:val="22"/>
              </w:rPr>
              <w:t>año 2</w:t>
            </w:r>
          </w:p>
        </w:tc>
        <w:tc>
          <w:tcPr>
            <w:tcW w:w="1012" w:type="dxa"/>
            <w:gridSpan w:val="4"/>
          </w:tcPr>
          <w:p>
            <w:pPr>
              <w:pStyle w:val="TableParagraph"/>
              <w:spacing w:line="268" w:lineRule="exact"/>
              <w:ind w:left="250"/>
              <w:rPr>
                <w:sz w:val="22"/>
              </w:rPr>
            </w:pPr>
            <w:r>
              <w:rPr>
                <w:sz w:val="22"/>
              </w:rPr>
              <w:t>año 3</w:t>
            </w:r>
          </w:p>
        </w:tc>
        <w:tc>
          <w:tcPr>
            <w:tcW w:w="1013" w:type="dxa"/>
            <w:gridSpan w:val="4"/>
            <w:shd w:val="clear" w:color="auto" w:fill="66FF33"/>
          </w:tcPr>
          <w:p>
            <w:pPr>
              <w:pStyle w:val="TableParagraph"/>
              <w:spacing w:line="268" w:lineRule="exact"/>
              <w:ind w:left="246"/>
              <w:rPr>
                <w:sz w:val="22"/>
              </w:rPr>
            </w:pPr>
            <w:r>
              <w:rPr>
                <w:sz w:val="22"/>
              </w:rPr>
              <w:t>año 4</w:t>
            </w:r>
          </w:p>
        </w:tc>
        <w:tc>
          <w:tcPr>
            <w:tcW w:w="1012" w:type="dxa"/>
            <w:gridSpan w:val="4"/>
            <w:tcBorders>
              <w:right w:val="single" w:sz="8" w:space="0" w:color="000000"/>
            </w:tcBorders>
            <w:shd w:val="clear" w:color="auto" w:fill="FF3300"/>
          </w:tcPr>
          <w:p>
            <w:pPr>
              <w:pStyle w:val="TableParagraph"/>
              <w:spacing w:line="268" w:lineRule="exact"/>
              <w:ind w:left="241"/>
              <w:rPr>
                <w:sz w:val="22"/>
              </w:rPr>
            </w:pPr>
            <w:r>
              <w:rPr>
                <w:sz w:val="22"/>
              </w:rPr>
              <w:t>año 5</w:t>
            </w:r>
          </w:p>
        </w:tc>
      </w:tr>
      <w:tr>
        <w:trPr>
          <w:trHeight w:val="448" w:hRule="atLeast"/>
        </w:trPr>
        <w:tc>
          <w:tcPr>
            <w:tcW w:w="1236" w:type="dxa"/>
            <w:tcBorders>
              <w:left w:val="single" w:sz="8" w:space="0" w:color="000000"/>
            </w:tcBorders>
            <w:shd w:val="clear" w:color="auto" w:fill="5B9BD4"/>
          </w:tcPr>
          <w:p>
            <w:pPr>
              <w:pStyle w:val="TableParagraph"/>
              <w:spacing w:line="243" w:lineRule="exact"/>
              <w:ind w:left="69"/>
              <w:rPr>
                <w:b/>
                <w:sz w:val="20"/>
              </w:rPr>
            </w:pPr>
            <w:r>
              <w:rPr>
                <w:b/>
                <w:sz w:val="20"/>
              </w:rPr>
              <w:t>RESULTADOS</w:t>
            </w:r>
          </w:p>
        </w:tc>
        <w:tc>
          <w:tcPr>
            <w:tcW w:w="1741" w:type="dxa"/>
            <w:tcBorders>
              <w:bottom w:val="single" w:sz="8" w:space="0" w:color="000000"/>
            </w:tcBorders>
            <w:shd w:val="clear" w:color="auto" w:fill="5B9BD4"/>
          </w:tcPr>
          <w:p>
            <w:pPr>
              <w:pStyle w:val="TableParagraph"/>
              <w:spacing w:line="243" w:lineRule="exact"/>
              <w:ind w:left="74"/>
              <w:rPr>
                <w:b/>
                <w:sz w:val="20"/>
              </w:rPr>
            </w:pPr>
            <w:r>
              <w:rPr>
                <w:b/>
                <w:sz w:val="20"/>
              </w:rPr>
              <w:t>ACTIVIDADES</w:t>
            </w:r>
          </w:p>
        </w:tc>
        <w:tc>
          <w:tcPr>
            <w:tcW w:w="1196" w:type="dxa"/>
            <w:shd w:val="clear" w:color="auto" w:fill="5B9BD4"/>
          </w:tcPr>
          <w:p>
            <w:pPr>
              <w:pStyle w:val="TableParagraph"/>
              <w:spacing w:line="243" w:lineRule="exact"/>
              <w:ind w:left="121"/>
              <w:rPr>
                <w:b/>
                <w:sz w:val="20"/>
              </w:rPr>
            </w:pPr>
            <w:r>
              <w:rPr>
                <w:b/>
                <w:sz w:val="20"/>
              </w:rPr>
              <w:t>verificación</w:t>
            </w:r>
          </w:p>
        </w:tc>
        <w:tc>
          <w:tcPr>
            <w:tcW w:w="253" w:type="dxa"/>
          </w:tcPr>
          <w:p>
            <w:pPr>
              <w:pStyle w:val="TableParagraph"/>
              <w:spacing w:line="265" w:lineRule="exact"/>
              <w:ind w:left="72"/>
              <w:rPr>
                <w:b/>
                <w:sz w:val="22"/>
              </w:rPr>
            </w:pPr>
            <w:r>
              <w:rPr>
                <w:b/>
                <w:w w:val="100"/>
                <w:sz w:val="22"/>
              </w:rPr>
              <w:t>1</w:t>
            </w:r>
          </w:p>
        </w:tc>
        <w:tc>
          <w:tcPr>
            <w:tcW w:w="253" w:type="dxa"/>
          </w:tcPr>
          <w:p>
            <w:pPr>
              <w:pStyle w:val="TableParagraph"/>
              <w:spacing w:line="265" w:lineRule="exact"/>
              <w:ind w:left="71"/>
              <w:rPr>
                <w:b/>
                <w:sz w:val="22"/>
              </w:rPr>
            </w:pPr>
            <w:r>
              <w:rPr>
                <w:b/>
                <w:w w:val="100"/>
                <w:sz w:val="22"/>
              </w:rPr>
              <w:t>2</w:t>
            </w:r>
          </w:p>
        </w:tc>
        <w:tc>
          <w:tcPr>
            <w:tcW w:w="253" w:type="dxa"/>
          </w:tcPr>
          <w:p>
            <w:pPr>
              <w:pStyle w:val="TableParagraph"/>
              <w:spacing w:line="265" w:lineRule="exact"/>
              <w:ind w:left="70"/>
              <w:rPr>
                <w:sz w:val="22"/>
              </w:rPr>
            </w:pPr>
            <w:r>
              <w:rPr>
                <w:w w:val="100"/>
                <w:sz w:val="22"/>
              </w:rPr>
              <w:t>3</w:t>
            </w:r>
          </w:p>
        </w:tc>
        <w:tc>
          <w:tcPr>
            <w:tcW w:w="253" w:type="dxa"/>
          </w:tcPr>
          <w:p>
            <w:pPr>
              <w:pStyle w:val="TableParagraph"/>
              <w:spacing w:line="265" w:lineRule="exact"/>
              <w:ind w:left="70"/>
              <w:rPr>
                <w:sz w:val="22"/>
              </w:rPr>
            </w:pPr>
            <w:r>
              <w:rPr>
                <w:w w:val="100"/>
                <w:sz w:val="22"/>
              </w:rPr>
              <w:t>4</w:t>
            </w:r>
          </w:p>
        </w:tc>
        <w:tc>
          <w:tcPr>
            <w:tcW w:w="253" w:type="dxa"/>
          </w:tcPr>
          <w:p>
            <w:pPr>
              <w:pStyle w:val="TableParagraph"/>
              <w:spacing w:line="265" w:lineRule="exact"/>
              <w:ind w:left="69"/>
              <w:rPr>
                <w:b/>
                <w:sz w:val="22"/>
              </w:rPr>
            </w:pPr>
            <w:r>
              <w:rPr>
                <w:b/>
                <w:w w:val="100"/>
                <w:sz w:val="22"/>
              </w:rPr>
              <w:t>1</w:t>
            </w:r>
          </w:p>
        </w:tc>
        <w:tc>
          <w:tcPr>
            <w:tcW w:w="253" w:type="dxa"/>
          </w:tcPr>
          <w:p>
            <w:pPr>
              <w:pStyle w:val="TableParagraph"/>
              <w:spacing w:line="265" w:lineRule="exact"/>
              <w:ind w:left="68"/>
              <w:rPr>
                <w:b/>
                <w:sz w:val="22"/>
              </w:rPr>
            </w:pPr>
            <w:r>
              <w:rPr>
                <w:b/>
                <w:w w:val="100"/>
                <w:sz w:val="22"/>
              </w:rPr>
              <w:t>2</w:t>
            </w:r>
          </w:p>
        </w:tc>
        <w:tc>
          <w:tcPr>
            <w:tcW w:w="253" w:type="dxa"/>
          </w:tcPr>
          <w:p>
            <w:pPr>
              <w:pStyle w:val="TableParagraph"/>
              <w:spacing w:line="265" w:lineRule="exact"/>
              <w:ind w:left="67"/>
              <w:rPr>
                <w:sz w:val="22"/>
              </w:rPr>
            </w:pPr>
            <w:r>
              <w:rPr>
                <w:w w:val="100"/>
                <w:sz w:val="22"/>
              </w:rPr>
              <w:t>3</w:t>
            </w:r>
          </w:p>
        </w:tc>
        <w:tc>
          <w:tcPr>
            <w:tcW w:w="253" w:type="dxa"/>
          </w:tcPr>
          <w:p>
            <w:pPr>
              <w:pStyle w:val="TableParagraph"/>
              <w:spacing w:line="265" w:lineRule="exact"/>
              <w:ind w:left="66"/>
              <w:rPr>
                <w:sz w:val="22"/>
              </w:rPr>
            </w:pPr>
            <w:r>
              <w:rPr>
                <w:w w:val="100"/>
                <w:sz w:val="22"/>
              </w:rPr>
              <w:t>4</w:t>
            </w:r>
          </w:p>
        </w:tc>
        <w:tc>
          <w:tcPr>
            <w:tcW w:w="253" w:type="dxa"/>
          </w:tcPr>
          <w:p>
            <w:pPr>
              <w:pStyle w:val="TableParagraph"/>
              <w:spacing w:line="265" w:lineRule="exact"/>
              <w:ind w:left="65"/>
              <w:rPr>
                <w:b/>
                <w:sz w:val="22"/>
              </w:rPr>
            </w:pPr>
            <w:r>
              <w:rPr>
                <w:b/>
                <w:w w:val="100"/>
                <w:sz w:val="22"/>
              </w:rPr>
              <w:t>1</w:t>
            </w:r>
          </w:p>
        </w:tc>
        <w:tc>
          <w:tcPr>
            <w:tcW w:w="253" w:type="dxa"/>
          </w:tcPr>
          <w:p>
            <w:pPr>
              <w:pStyle w:val="TableParagraph"/>
              <w:spacing w:line="265" w:lineRule="exact"/>
              <w:ind w:left="64"/>
              <w:rPr>
                <w:b/>
                <w:sz w:val="22"/>
              </w:rPr>
            </w:pPr>
            <w:r>
              <w:rPr>
                <w:b/>
                <w:w w:val="100"/>
                <w:sz w:val="22"/>
              </w:rPr>
              <w:t>2</w:t>
            </w:r>
          </w:p>
        </w:tc>
        <w:tc>
          <w:tcPr>
            <w:tcW w:w="253" w:type="dxa"/>
          </w:tcPr>
          <w:p>
            <w:pPr>
              <w:pStyle w:val="TableParagraph"/>
              <w:spacing w:line="265" w:lineRule="exact"/>
              <w:ind w:left="63"/>
              <w:rPr>
                <w:sz w:val="22"/>
              </w:rPr>
            </w:pPr>
            <w:r>
              <w:rPr>
                <w:w w:val="100"/>
                <w:sz w:val="22"/>
              </w:rPr>
              <w:t>3</w:t>
            </w:r>
          </w:p>
        </w:tc>
        <w:tc>
          <w:tcPr>
            <w:tcW w:w="253" w:type="dxa"/>
          </w:tcPr>
          <w:p>
            <w:pPr>
              <w:pStyle w:val="TableParagraph"/>
              <w:spacing w:line="265" w:lineRule="exact"/>
              <w:ind w:left="62"/>
              <w:rPr>
                <w:sz w:val="22"/>
              </w:rPr>
            </w:pPr>
            <w:r>
              <w:rPr>
                <w:w w:val="100"/>
                <w:sz w:val="22"/>
              </w:rPr>
              <w:t>4</w:t>
            </w:r>
          </w:p>
        </w:tc>
        <w:tc>
          <w:tcPr>
            <w:tcW w:w="254" w:type="dxa"/>
          </w:tcPr>
          <w:p>
            <w:pPr>
              <w:pStyle w:val="TableParagraph"/>
              <w:spacing w:line="265" w:lineRule="exact"/>
              <w:ind w:left="61"/>
              <w:rPr>
                <w:b/>
                <w:sz w:val="22"/>
              </w:rPr>
            </w:pPr>
            <w:r>
              <w:rPr>
                <w:b/>
                <w:w w:val="100"/>
                <w:sz w:val="22"/>
              </w:rPr>
              <w:t>1</w:t>
            </w:r>
          </w:p>
        </w:tc>
        <w:tc>
          <w:tcPr>
            <w:tcW w:w="253" w:type="dxa"/>
          </w:tcPr>
          <w:p>
            <w:pPr>
              <w:pStyle w:val="TableParagraph"/>
              <w:spacing w:line="265" w:lineRule="exact"/>
              <w:ind w:left="59"/>
              <w:rPr>
                <w:b/>
                <w:sz w:val="22"/>
              </w:rPr>
            </w:pPr>
            <w:r>
              <w:rPr>
                <w:b/>
                <w:w w:val="100"/>
                <w:sz w:val="22"/>
              </w:rPr>
              <w:t>2</w:t>
            </w:r>
          </w:p>
        </w:tc>
        <w:tc>
          <w:tcPr>
            <w:tcW w:w="253" w:type="dxa"/>
          </w:tcPr>
          <w:p>
            <w:pPr>
              <w:pStyle w:val="TableParagraph"/>
              <w:spacing w:line="265" w:lineRule="exact"/>
              <w:ind w:left="58"/>
              <w:rPr>
                <w:sz w:val="22"/>
              </w:rPr>
            </w:pPr>
            <w:r>
              <w:rPr>
                <w:w w:val="100"/>
                <w:sz w:val="22"/>
              </w:rPr>
              <w:t>3</w:t>
            </w:r>
          </w:p>
        </w:tc>
        <w:tc>
          <w:tcPr>
            <w:tcW w:w="253" w:type="dxa"/>
          </w:tcPr>
          <w:p>
            <w:pPr>
              <w:pStyle w:val="TableParagraph"/>
              <w:spacing w:line="265" w:lineRule="exact"/>
              <w:ind w:left="57"/>
              <w:rPr>
                <w:sz w:val="22"/>
              </w:rPr>
            </w:pPr>
            <w:r>
              <w:rPr>
                <w:w w:val="100"/>
                <w:sz w:val="22"/>
              </w:rPr>
              <w:t>4</w:t>
            </w:r>
          </w:p>
        </w:tc>
        <w:tc>
          <w:tcPr>
            <w:tcW w:w="253" w:type="dxa"/>
          </w:tcPr>
          <w:p>
            <w:pPr>
              <w:pStyle w:val="TableParagraph"/>
              <w:spacing w:line="265" w:lineRule="exact"/>
              <w:ind w:left="56"/>
              <w:rPr>
                <w:sz w:val="22"/>
              </w:rPr>
            </w:pPr>
            <w:r>
              <w:rPr>
                <w:w w:val="100"/>
                <w:sz w:val="22"/>
              </w:rPr>
              <w:t>1</w:t>
            </w:r>
          </w:p>
        </w:tc>
        <w:tc>
          <w:tcPr>
            <w:tcW w:w="253" w:type="dxa"/>
          </w:tcPr>
          <w:p>
            <w:pPr>
              <w:pStyle w:val="TableParagraph"/>
              <w:spacing w:line="265" w:lineRule="exact"/>
              <w:ind w:left="55"/>
              <w:rPr>
                <w:sz w:val="22"/>
              </w:rPr>
            </w:pPr>
            <w:r>
              <w:rPr>
                <w:w w:val="100"/>
                <w:sz w:val="22"/>
              </w:rPr>
              <w:t>2</w:t>
            </w:r>
          </w:p>
        </w:tc>
        <w:tc>
          <w:tcPr>
            <w:tcW w:w="253" w:type="dxa"/>
          </w:tcPr>
          <w:p>
            <w:pPr>
              <w:pStyle w:val="TableParagraph"/>
              <w:spacing w:line="265" w:lineRule="exact"/>
              <w:ind w:left="54"/>
              <w:rPr>
                <w:sz w:val="22"/>
              </w:rPr>
            </w:pPr>
            <w:r>
              <w:rPr>
                <w:w w:val="100"/>
                <w:sz w:val="22"/>
              </w:rPr>
              <w:t>3</w:t>
            </w:r>
          </w:p>
        </w:tc>
        <w:tc>
          <w:tcPr>
            <w:tcW w:w="253" w:type="dxa"/>
            <w:tcBorders>
              <w:right w:val="single" w:sz="8" w:space="0" w:color="000000"/>
            </w:tcBorders>
          </w:tcPr>
          <w:p>
            <w:pPr>
              <w:pStyle w:val="TableParagraph"/>
              <w:spacing w:line="265" w:lineRule="exact"/>
              <w:ind w:left="53"/>
              <w:rPr>
                <w:sz w:val="22"/>
              </w:rPr>
            </w:pPr>
            <w:r>
              <w:rPr>
                <w:w w:val="100"/>
                <w:sz w:val="22"/>
              </w:rPr>
              <w:t>4</w:t>
            </w:r>
          </w:p>
        </w:tc>
      </w:tr>
      <w:tr>
        <w:trPr>
          <w:trHeight w:val="1466" w:hRule="atLeast"/>
        </w:trPr>
        <w:tc>
          <w:tcPr>
            <w:tcW w:w="1236" w:type="dxa"/>
            <w:tcBorders>
              <w:left w:val="single" w:sz="8"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6"/>
              </w:rPr>
            </w:pPr>
          </w:p>
          <w:p>
            <w:pPr>
              <w:pStyle w:val="TableParagraph"/>
              <w:spacing w:line="225" w:lineRule="exact"/>
              <w:ind w:left="69"/>
              <w:rPr>
                <w:sz w:val="20"/>
              </w:rPr>
            </w:pPr>
            <w:r>
              <w:rPr>
                <w:sz w:val="20"/>
              </w:rPr>
              <w:t>R.11.</w:t>
            </w:r>
          </w:p>
        </w:tc>
        <w:tc>
          <w:tcPr>
            <w:tcW w:w="1741" w:type="dxa"/>
            <w:tcBorders>
              <w:top w:val="single" w:sz="8" w:space="0" w:color="000000"/>
              <w:bottom w:val="single" w:sz="8" w:space="0" w:color="000000"/>
              <w:right w:val="single" w:sz="8" w:space="0" w:color="000000"/>
            </w:tcBorders>
            <w:shd w:val="clear" w:color="auto" w:fill="DEEAF6"/>
          </w:tcPr>
          <w:p>
            <w:pPr>
              <w:pStyle w:val="TableParagraph"/>
              <w:rPr>
                <w:rFonts w:ascii="Times New Roman"/>
                <w:sz w:val="20"/>
              </w:rPr>
            </w:pPr>
          </w:p>
          <w:p>
            <w:pPr>
              <w:pStyle w:val="TableParagraph"/>
              <w:spacing w:before="136"/>
              <w:ind w:left="74"/>
              <w:rPr>
                <w:sz w:val="20"/>
              </w:rPr>
            </w:pPr>
            <w:r>
              <w:rPr>
                <w:sz w:val="20"/>
              </w:rPr>
              <w:t>36. Diseño sistema AJLLAS de pre admisión</w:t>
            </w:r>
          </w:p>
        </w:tc>
        <w:tc>
          <w:tcPr>
            <w:tcW w:w="1196" w:type="dxa"/>
            <w:tcBorders>
              <w:left w:val="single" w:sz="8" w:space="0" w:color="000000"/>
            </w:tcBorders>
          </w:tcPr>
          <w:p>
            <w:pPr>
              <w:pStyle w:val="TableParagraph"/>
              <w:spacing w:before="1"/>
              <w:ind w:left="68" w:right="86"/>
              <w:rPr>
                <w:sz w:val="20"/>
              </w:rPr>
            </w:pPr>
            <w:r>
              <w:rPr>
                <w:sz w:val="20"/>
              </w:rPr>
              <w:t>1er trimestre 1er año y 2do trimestre de</w:t>
            </w:r>
          </w:p>
          <w:p>
            <w:pPr>
              <w:pStyle w:val="TableParagraph"/>
              <w:spacing w:line="224" w:lineRule="exact"/>
              <w:ind w:left="68"/>
              <w:rPr>
                <w:sz w:val="20"/>
              </w:rPr>
            </w:pPr>
            <w:r>
              <w:rPr>
                <w:sz w:val="20"/>
              </w:rPr>
              <w:t>3er año</w:t>
            </w:r>
          </w:p>
        </w:tc>
        <w:tc>
          <w:tcPr>
            <w:tcW w:w="253" w:type="dxa"/>
            <w:shd w:val="clear" w:color="auto" w:fill="A6A6A6"/>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6A6A6"/>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4"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tcPr>
          <w:p>
            <w:pPr>
              <w:pStyle w:val="TableParagraph"/>
              <w:rPr>
                <w:rFonts w:ascii="Times New Roman"/>
                <w:sz w:val="20"/>
              </w:rPr>
            </w:pPr>
          </w:p>
        </w:tc>
      </w:tr>
      <w:tr>
        <w:trPr>
          <w:trHeight w:val="731" w:hRule="atLeast"/>
        </w:trPr>
        <w:tc>
          <w:tcPr>
            <w:tcW w:w="1236" w:type="dxa"/>
            <w:tcBorders>
              <w:left w:val="single" w:sz="8" w:space="0" w:color="000000"/>
            </w:tcBorders>
          </w:tcPr>
          <w:p>
            <w:pPr>
              <w:pStyle w:val="TableParagraph"/>
              <w:rPr>
                <w:rFonts w:ascii="Times New Roman"/>
                <w:sz w:val="20"/>
              </w:rPr>
            </w:pPr>
          </w:p>
        </w:tc>
        <w:tc>
          <w:tcPr>
            <w:tcW w:w="1741" w:type="dxa"/>
            <w:tcBorders>
              <w:top w:val="single" w:sz="8" w:space="0" w:color="000000"/>
              <w:bottom w:val="single" w:sz="8" w:space="0" w:color="000000"/>
              <w:right w:val="single" w:sz="8" w:space="0" w:color="000000"/>
            </w:tcBorders>
            <w:shd w:val="clear" w:color="auto" w:fill="DEEAF6"/>
          </w:tcPr>
          <w:p>
            <w:pPr>
              <w:pStyle w:val="TableParagraph"/>
              <w:spacing w:before="121"/>
              <w:ind w:left="74" w:right="249"/>
              <w:rPr>
                <w:sz w:val="20"/>
              </w:rPr>
            </w:pPr>
            <w:r>
              <w:rPr>
                <w:sz w:val="20"/>
              </w:rPr>
              <w:t>37. Aplicación de sistema AJLLAS</w:t>
            </w:r>
          </w:p>
        </w:tc>
        <w:tc>
          <w:tcPr>
            <w:tcW w:w="1196" w:type="dxa"/>
            <w:tcBorders>
              <w:left w:val="single" w:sz="8" w:space="0" w:color="000000"/>
            </w:tcBorders>
          </w:tcPr>
          <w:p>
            <w:pPr>
              <w:pStyle w:val="TableParagraph"/>
              <w:ind w:left="68" w:right="140"/>
              <w:rPr>
                <w:sz w:val="20"/>
              </w:rPr>
            </w:pPr>
            <w:r>
              <w:rPr>
                <w:sz w:val="20"/>
              </w:rPr>
              <w:t>4to </w:t>
            </w:r>
            <w:r>
              <w:rPr>
                <w:w w:val="95"/>
                <w:sz w:val="20"/>
              </w:rPr>
              <w:t>trimestre</w:t>
            </w:r>
          </w:p>
          <w:p>
            <w:pPr>
              <w:pStyle w:val="TableParagraph"/>
              <w:spacing w:line="223" w:lineRule="exact"/>
              <w:ind w:left="68"/>
              <w:rPr>
                <w:sz w:val="20"/>
              </w:rPr>
            </w:pPr>
            <w:r>
              <w:rPr>
                <w:sz w:val="20"/>
              </w:rPr>
              <w:t>cada</w:t>
            </w:r>
            <w:r>
              <w:rPr>
                <w:spacing w:val="44"/>
                <w:sz w:val="20"/>
              </w:rPr>
              <w:t> </w:t>
            </w:r>
            <w:r>
              <w:rPr>
                <w:sz w:val="20"/>
              </w:rPr>
              <w:t>año</w:t>
            </w: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6A6A6"/>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6A6A6"/>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6A6A6"/>
          </w:tcPr>
          <w:p>
            <w:pPr>
              <w:pStyle w:val="TableParagraph"/>
              <w:rPr>
                <w:rFonts w:ascii="Times New Roman"/>
                <w:sz w:val="20"/>
              </w:rPr>
            </w:pPr>
          </w:p>
        </w:tc>
        <w:tc>
          <w:tcPr>
            <w:tcW w:w="254"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6A6A6"/>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shd w:val="clear" w:color="auto" w:fill="A6A6A6"/>
          </w:tcPr>
          <w:p>
            <w:pPr>
              <w:pStyle w:val="TableParagraph"/>
              <w:rPr>
                <w:rFonts w:ascii="Times New Roman"/>
                <w:sz w:val="20"/>
              </w:rPr>
            </w:pPr>
          </w:p>
        </w:tc>
      </w:tr>
      <w:tr>
        <w:trPr>
          <w:trHeight w:val="978" w:hRule="atLeast"/>
        </w:trPr>
        <w:tc>
          <w:tcPr>
            <w:tcW w:w="1236" w:type="dxa"/>
            <w:vMerge w:val="restart"/>
            <w:tcBorders>
              <w:left w:val="single" w:sz="8" w:space="0" w:color="000000"/>
            </w:tcBorders>
          </w:tcPr>
          <w:p>
            <w:pPr>
              <w:pStyle w:val="TableParagraph"/>
              <w:spacing w:before="1"/>
              <w:ind w:left="69"/>
              <w:rPr>
                <w:sz w:val="20"/>
              </w:rPr>
            </w:pPr>
            <w:r>
              <w:rPr>
                <w:sz w:val="20"/>
              </w:rPr>
              <w:t>R.12.</w:t>
            </w:r>
          </w:p>
        </w:tc>
        <w:tc>
          <w:tcPr>
            <w:tcW w:w="1741" w:type="dxa"/>
            <w:tcBorders>
              <w:top w:val="single" w:sz="8" w:space="0" w:color="000000"/>
            </w:tcBorders>
            <w:shd w:val="clear" w:color="auto" w:fill="DDEBF7"/>
          </w:tcPr>
          <w:p>
            <w:pPr>
              <w:pStyle w:val="TableParagraph"/>
              <w:spacing w:before="1"/>
              <w:ind w:left="74"/>
              <w:rPr>
                <w:sz w:val="20"/>
              </w:rPr>
            </w:pPr>
            <w:r>
              <w:rPr>
                <w:sz w:val="20"/>
              </w:rPr>
              <w:t>38. </w:t>
            </w:r>
            <w:r>
              <w:rPr>
                <w:spacing w:val="-3"/>
                <w:sz w:val="20"/>
              </w:rPr>
              <w:t>Definición </w:t>
            </w:r>
            <w:r>
              <w:rPr>
                <w:sz w:val="20"/>
              </w:rPr>
              <w:t>prioridades territoriales</w:t>
            </w:r>
          </w:p>
          <w:p>
            <w:pPr>
              <w:pStyle w:val="TableParagraph"/>
              <w:spacing w:line="225" w:lineRule="exact"/>
              <w:ind w:left="74"/>
              <w:rPr>
                <w:sz w:val="20"/>
              </w:rPr>
            </w:pPr>
            <w:r>
              <w:rPr>
                <w:sz w:val="20"/>
              </w:rPr>
              <w:t>productivas</w:t>
            </w:r>
          </w:p>
        </w:tc>
        <w:tc>
          <w:tcPr>
            <w:tcW w:w="1196" w:type="dxa"/>
          </w:tcPr>
          <w:p>
            <w:pPr>
              <w:pStyle w:val="TableParagraph"/>
              <w:spacing w:before="1"/>
              <w:ind w:left="73" w:right="184"/>
              <w:rPr>
                <w:sz w:val="20"/>
              </w:rPr>
            </w:pPr>
            <w:r>
              <w:rPr>
                <w:sz w:val="20"/>
              </w:rPr>
              <w:t>1er trimestre años 1 , 3 y</w:t>
            </w:r>
          </w:p>
          <w:p>
            <w:pPr>
              <w:pStyle w:val="TableParagraph"/>
              <w:spacing w:line="225" w:lineRule="exact"/>
              <w:ind w:left="73"/>
              <w:rPr>
                <w:sz w:val="20"/>
              </w:rPr>
            </w:pPr>
            <w:r>
              <w:rPr>
                <w:w w:val="99"/>
                <w:sz w:val="20"/>
              </w:rPr>
              <w:t>5</w:t>
            </w: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4"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tcPr>
          <w:p>
            <w:pPr>
              <w:pStyle w:val="TableParagraph"/>
              <w:rPr>
                <w:rFonts w:ascii="Times New Roman"/>
                <w:sz w:val="20"/>
              </w:rPr>
            </w:pPr>
          </w:p>
        </w:tc>
      </w:tr>
      <w:tr>
        <w:trPr>
          <w:trHeight w:val="731"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spacing w:line="243" w:lineRule="exact"/>
              <w:ind w:left="74"/>
              <w:rPr>
                <w:sz w:val="20"/>
              </w:rPr>
            </w:pPr>
            <w:r>
              <w:rPr>
                <w:sz w:val="20"/>
              </w:rPr>
              <w:t>39.</w:t>
            </w:r>
          </w:p>
          <w:p>
            <w:pPr>
              <w:pStyle w:val="TableParagraph"/>
              <w:spacing w:line="243" w:lineRule="exact"/>
              <w:ind w:left="74"/>
              <w:rPr>
                <w:sz w:val="20"/>
              </w:rPr>
            </w:pPr>
            <w:r>
              <w:rPr>
                <w:sz w:val="20"/>
              </w:rPr>
              <w:t>interaprendizaje</w:t>
            </w:r>
          </w:p>
          <w:p>
            <w:pPr>
              <w:pStyle w:val="TableParagraph"/>
              <w:spacing w:line="225" w:lineRule="exact"/>
              <w:ind w:left="74"/>
              <w:rPr>
                <w:sz w:val="20"/>
              </w:rPr>
            </w:pPr>
            <w:r>
              <w:rPr>
                <w:sz w:val="20"/>
              </w:rPr>
              <w:t>semipresencial</w:t>
            </w:r>
          </w:p>
        </w:tc>
        <w:tc>
          <w:tcPr>
            <w:tcW w:w="1196" w:type="dxa"/>
          </w:tcPr>
          <w:p>
            <w:pPr>
              <w:pStyle w:val="TableParagraph"/>
              <w:ind w:left="73" w:right="184"/>
              <w:rPr>
                <w:sz w:val="20"/>
              </w:rPr>
            </w:pPr>
            <w:r>
              <w:rPr>
                <w:sz w:val="20"/>
              </w:rPr>
              <w:t>2do </w:t>
            </w:r>
            <w:r>
              <w:rPr>
                <w:w w:val="95"/>
                <w:sz w:val="20"/>
              </w:rPr>
              <w:t>trimestre</w:t>
            </w:r>
          </w:p>
          <w:p>
            <w:pPr>
              <w:pStyle w:val="TableParagraph"/>
              <w:spacing w:line="224" w:lineRule="exact"/>
              <w:ind w:left="73"/>
              <w:rPr>
                <w:sz w:val="20"/>
              </w:rPr>
            </w:pPr>
            <w:r>
              <w:rPr>
                <w:sz w:val="20"/>
              </w:rPr>
              <w:t>años 2 y 4</w:t>
            </w: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4" w:type="dxa"/>
            <w:shd w:val="clear" w:color="auto" w:fill="D0CECE"/>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Borders>
              <w:right w:val="single" w:sz="8" w:space="0" w:color="000000"/>
            </w:tcBorders>
            <w:shd w:val="clear" w:color="auto" w:fill="D0CECE"/>
          </w:tcPr>
          <w:p>
            <w:pPr>
              <w:pStyle w:val="TableParagraph"/>
              <w:rPr>
                <w:rFonts w:ascii="Times New Roman"/>
                <w:sz w:val="20"/>
              </w:rPr>
            </w:pPr>
          </w:p>
        </w:tc>
      </w:tr>
      <w:tr>
        <w:trPr>
          <w:trHeight w:val="732"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spacing w:before="121"/>
              <w:ind w:left="74"/>
              <w:rPr>
                <w:sz w:val="20"/>
              </w:rPr>
            </w:pPr>
            <w:r>
              <w:rPr>
                <w:sz w:val="20"/>
              </w:rPr>
              <w:t>40. Diplomados interculturales</w:t>
            </w:r>
          </w:p>
        </w:tc>
        <w:tc>
          <w:tcPr>
            <w:tcW w:w="1196" w:type="dxa"/>
          </w:tcPr>
          <w:p>
            <w:pPr>
              <w:pStyle w:val="TableParagraph"/>
              <w:ind w:left="73"/>
              <w:rPr>
                <w:sz w:val="20"/>
              </w:rPr>
            </w:pPr>
            <w:r>
              <w:rPr>
                <w:sz w:val="20"/>
              </w:rPr>
              <w:t>1ro y 3er </w:t>
            </w:r>
            <w:r>
              <w:rPr>
                <w:w w:val="95"/>
                <w:sz w:val="20"/>
              </w:rPr>
              <w:t>trimestre</w:t>
            </w:r>
          </w:p>
          <w:p>
            <w:pPr>
              <w:pStyle w:val="TableParagraph"/>
              <w:spacing w:line="223" w:lineRule="exact"/>
              <w:ind w:left="73"/>
              <w:rPr>
                <w:sz w:val="20"/>
              </w:rPr>
            </w:pPr>
            <w:r>
              <w:rPr>
                <w:sz w:val="20"/>
              </w:rPr>
              <w:t>c/año</w:t>
            </w: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4"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tcPr>
          <w:p>
            <w:pPr>
              <w:pStyle w:val="TableParagraph"/>
              <w:rPr>
                <w:rFonts w:ascii="Times New Roman"/>
                <w:sz w:val="20"/>
              </w:rPr>
            </w:pPr>
          </w:p>
        </w:tc>
      </w:tr>
      <w:tr>
        <w:trPr>
          <w:trHeight w:val="733"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spacing w:before="1"/>
              <w:ind w:left="74" w:right="365"/>
              <w:rPr>
                <w:sz w:val="20"/>
              </w:rPr>
            </w:pPr>
            <w:r>
              <w:rPr>
                <w:sz w:val="20"/>
              </w:rPr>
              <w:t>41. aportes tecnológicos en</w:t>
            </w:r>
          </w:p>
          <w:p>
            <w:pPr>
              <w:pStyle w:val="TableParagraph"/>
              <w:spacing w:line="224" w:lineRule="exact"/>
              <w:ind w:left="74"/>
              <w:rPr>
                <w:sz w:val="20"/>
              </w:rPr>
            </w:pPr>
            <w:r>
              <w:rPr>
                <w:sz w:val="20"/>
              </w:rPr>
              <w:t>territorialidades</w:t>
            </w:r>
          </w:p>
        </w:tc>
        <w:tc>
          <w:tcPr>
            <w:tcW w:w="1196" w:type="dxa"/>
          </w:tcPr>
          <w:p>
            <w:pPr>
              <w:pStyle w:val="TableParagraph"/>
              <w:spacing w:before="1"/>
              <w:ind w:left="73" w:right="184"/>
              <w:rPr>
                <w:sz w:val="20"/>
              </w:rPr>
            </w:pPr>
            <w:r>
              <w:rPr>
                <w:sz w:val="20"/>
              </w:rPr>
              <w:t>2do </w:t>
            </w:r>
            <w:r>
              <w:rPr>
                <w:w w:val="95"/>
                <w:sz w:val="20"/>
              </w:rPr>
              <w:t>trimestre</w:t>
            </w:r>
          </w:p>
          <w:p>
            <w:pPr>
              <w:pStyle w:val="TableParagraph"/>
              <w:spacing w:line="224" w:lineRule="exact"/>
              <w:ind w:left="73"/>
              <w:rPr>
                <w:sz w:val="20"/>
              </w:rPr>
            </w:pPr>
            <w:r>
              <w:rPr>
                <w:sz w:val="20"/>
              </w:rPr>
              <w:t>años 2 y 4</w:t>
            </w: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4"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shd w:val="clear" w:color="auto" w:fill="ADAAAA"/>
          </w:tcPr>
          <w:p>
            <w:pPr>
              <w:pStyle w:val="TableParagraph"/>
              <w:rPr>
                <w:rFonts w:ascii="Times New Roman"/>
                <w:sz w:val="20"/>
              </w:rPr>
            </w:pPr>
          </w:p>
        </w:tc>
      </w:tr>
      <w:tr>
        <w:trPr>
          <w:trHeight w:val="976" w:hRule="atLeast"/>
        </w:trPr>
        <w:tc>
          <w:tcPr>
            <w:tcW w:w="1236" w:type="dxa"/>
            <w:vMerge w:val="restart"/>
            <w:tcBorders>
              <w:left w:val="single" w:sz="8" w:space="0" w:color="000000"/>
            </w:tcBorders>
          </w:tcPr>
          <w:p>
            <w:pPr>
              <w:pStyle w:val="TableParagraph"/>
              <w:spacing w:line="243" w:lineRule="exact"/>
              <w:ind w:left="69"/>
              <w:rPr>
                <w:sz w:val="20"/>
              </w:rPr>
            </w:pPr>
            <w:r>
              <w:rPr>
                <w:sz w:val="20"/>
              </w:rPr>
              <w:t>R.13.</w:t>
            </w:r>
          </w:p>
        </w:tc>
        <w:tc>
          <w:tcPr>
            <w:tcW w:w="1741" w:type="dxa"/>
            <w:shd w:val="clear" w:color="auto" w:fill="DDEBF7"/>
          </w:tcPr>
          <w:p>
            <w:pPr>
              <w:pStyle w:val="TableParagraph"/>
              <w:ind w:left="74" w:right="703"/>
              <w:rPr>
                <w:sz w:val="20"/>
              </w:rPr>
            </w:pPr>
            <w:r>
              <w:rPr>
                <w:sz w:val="20"/>
              </w:rPr>
              <w:t>42. cultura quechua </w:t>
            </w:r>
            <w:r>
              <w:rPr>
                <w:spacing w:val="-8"/>
                <w:sz w:val="20"/>
              </w:rPr>
              <w:t>en </w:t>
            </w:r>
            <w:r>
              <w:rPr>
                <w:sz w:val="20"/>
              </w:rPr>
              <w:t>internado</w:t>
            </w:r>
            <w:r>
              <w:rPr>
                <w:spacing w:val="-3"/>
                <w:sz w:val="20"/>
              </w:rPr>
              <w:t> </w:t>
            </w:r>
            <w:r>
              <w:rPr>
                <w:sz w:val="20"/>
              </w:rPr>
              <w:t>y</w:t>
            </w:r>
          </w:p>
          <w:p>
            <w:pPr>
              <w:pStyle w:val="TableParagraph"/>
              <w:spacing w:line="225" w:lineRule="exact"/>
              <w:ind w:left="74"/>
              <w:rPr>
                <w:sz w:val="20"/>
              </w:rPr>
            </w:pPr>
            <w:r>
              <w:rPr>
                <w:sz w:val="20"/>
              </w:rPr>
              <w:t>académico.</w:t>
            </w:r>
          </w:p>
        </w:tc>
        <w:tc>
          <w:tcPr>
            <w:tcW w:w="1196" w:type="dxa"/>
          </w:tcPr>
          <w:p>
            <w:pPr>
              <w:pStyle w:val="TableParagraph"/>
              <w:ind w:left="73" w:right="77"/>
              <w:rPr>
                <w:sz w:val="20"/>
              </w:rPr>
            </w:pPr>
            <w:r>
              <w:rPr>
                <w:w w:val="95"/>
                <w:sz w:val="20"/>
              </w:rPr>
              <w:t>Permanente </w:t>
            </w:r>
            <w:r>
              <w:rPr>
                <w:sz w:val="20"/>
              </w:rPr>
              <w:t>5 años</w:t>
            </w: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4"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Borders>
              <w:right w:val="single" w:sz="8" w:space="0" w:color="000000"/>
            </w:tcBorders>
            <w:shd w:val="clear" w:color="auto" w:fill="ADAAAA"/>
          </w:tcPr>
          <w:p>
            <w:pPr>
              <w:pStyle w:val="TableParagraph"/>
              <w:rPr>
                <w:rFonts w:ascii="Times New Roman"/>
                <w:sz w:val="20"/>
              </w:rPr>
            </w:pPr>
          </w:p>
        </w:tc>
      </w:tr>
      <w:tr>
        <w:trPr>
          <w:trHeight w:val="731"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ind w:left="74" w:right="403"/>
              <w:rPr>
                <w:sz w:val="20"/>
              </w:rPr>
            </w:pPr>
            <w:r>
              <w:rPr>
                <w:sz w:val="20"/>
              </w:rPr>
              <w:t>43. acciones </w:t>
            </w:r>
            <w:r>
              <w:rPr>
                <w:spacing w:val="-7"/>
                <w:sz w:val="20"/>
              </w:rPr>
              <w:t>de </w:t>
            </w:r>
            <w:r>
              <w:rPr>
                <w:sz w:val="20"/>
              </w:rPr>
              <w:t>campo y</w:t>
            </w:r>
            <w:r>
              <w:rPr>
                <w:spacing w:val="-1"/>
                <w:sz w:val="20"/>
              </w:rPr>
              <w:t> </w:t>
            </w:r>
            <w:r>
              <w:rPr>
                <w:sz w:val="20"/>
              </w:rPr>
              <w:t>usos</w:t>
            </w:r>
          </w:p>
          <w:p>
            <w:pPr>
              <w:pStyle w:val="TableParagraph"/>
              <w:spacing w:line="224" w:lineRule="exact"/>
              <w:ind w:left="74"/>
              <w:rPr>
                <w:sz w:val="20"/>
              </w:rPr>
            </w:pPr>
            <w:r>
              <w:rPr>
                <w:sz w:val="20"/>
              </w:rPr>
              <w:t>/costumbres.</w:t>
            </w:r>
          </w:p>
        </w:tc>
        <w:tc>
          <w:tcPr>
            <w:tcW w:w="1196" w:type="dxa"/>
          </w:tcPr>
          <w:p>
            <w:pPr>
              <w:pStyle w:val="TableParagraph"/>
              <w:ind w:left="73" w:right="184"/>
              <w:rPr>
                <w:sz w:val="20"/>
              </w:rPr>
            </w:pPr>
            <w:r>
              <w:rPr>
                <w:sz w:val="20"/>
              </w:rPr>
              <w:t>1er </w:t>
            </w:r>
            <w:r>
              <w:rPr>
                <w:w w:val="95"/>
                <w:sz w:val="20"/>
              </w:rPr>
              <w:t>trimestre</w:t>
            </w:r>
          </w:p>
          <w:p>
            <w:pPr>
              <w:pStyle w:val="TableParagraph"/>
              <w:spacing w:line="224" w:lineRule="exact"/>
              <w:ind w:left="73"/>
              <w:rPr>
                <w:sz w:val="20"/>
              </w:rPr>
            </w:pPr>
            <w:r>
              <w:rPr>
                <w:sz w:val="20"/>
              </w:rPr>
              <w:t>c/año</w:t>
            </w: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4"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tcPr>
          <w:p>
            <w:pPr>
              <w:pStyle w:val="TableParagraph"/>
              <w:rPr>
                <w:rFonts w:ascii="Times New Roman"/>
                <w:sz w:val="20"/>
              </w:rPr>
            </w:pPr>
          </w:p>
        </w:tc>
      </w:tr>
      <w:tr>
        <w:trPr>
          <w:trHeight w:val="732"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ind w:left="74"/>
              <w:rPr>
                <w:sz w:val="20"/>
              </w:rPr>
            </w:pPr>
            <w:r>
              <w:rPr>
                <w:sz w:val="20"/>
              </w:rPr>
              <w:t>44. Calendarios en base a ciclos</w:t>
            </w:r>
          </w:p>
          <w:p>
            <w:pPr>
              <w:pStyle w:val="TableParagraph"/>
              <w:spacing w:line="223" w:lineRule="exact" w:before="1"/>
              <w:ind w:left="74"/>
              <w:rPr>
                <w:sz w:val="20"/>
              </w:rPr>
            </w:pPr>
            <w:r>
              <w:rPr>
                <w:sz w:val="20"/>
              </w:rPr>
              <w:t>quechua</w:t>
            </w:r>
          </w:p>
        </w:tc>
        <w:tc>
          <w:tcPr>
            <w:tcW w:w="1196" w:type="dxa"/>
          </w:tcPr>
          <w:p>
            <w:pPr>
              <w:pStyle w:val="TableParagraph"/>
              <w:ind w:left="73" w:right="184"/>
              <w:rPr>
                <w:sz w:val="20"/>
              </w:rPr>
            </w:pPr>
            <w:r>
              <w:rPr>
                <w:sz w:val="20"/>
              </w:rPr>
              <w:t>4er </w:t>
            </w:r>
            <w:r>
              <w:rPr>
                <w:w w:val="95"/>
                <w:sz w:val="20"/>
              </w:rPr>
              <w:t>trimestre</w:t>
            </w:r>
          </w:p>
          <w:p>
            <w:pPr>
              <w:pStyle w:val="TableParagraph"/>
              <w:spacing w:line="223" w:lineRule="exact" w:before="1"/>
              <w:ind w:left="73"/>
              <w:rPr>
                <w:sz w:val="20"/>
              </w:rPr>
            </w:pPr>
            <w:r>
              <w:rPr>
                <w:sz w:val="20"/>
              </w:rPr>
              <w:t>c/año</w:t>
            </w: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4"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tcBorders>
              <w:right w:val="single" w:sz="8" w:space="0" w:color="000000"/>
            </w:tcBorders>
            <w:shd w:val="clear" w:color="auto" w:fill="ADAAAA"/>
          </w:tcPr>
          <w:p>
            <w:pPr>
              <w:pStyle w:val="TableParagraph"/>
              <w:rPr>
                <w:rFonts w:ascii="Times New Roman"/>
                <w:sz w:val="20"/>
              </w:rPr>
            </w:pPr>
          </w:p>
        </w:tc>
      </w:tr>
      <w:tr>
        <w:trPr>
          <w:trHeight w:val="733" w:hRule="atLeast"/>
        </w:trPr>
        <w:tc>
          <w:tcPr>
            <w:tcW w:w="1236" w:type="dxa"/>
            <w:vMerge w:val="restart"/>
            <w:tcBorders>
              <w:left w:val="single" w:sz="8" w:space="0" w:color="000000"/>
            </w:tcBorders>
          </w:tcPr>
          <w:p>
            <w:pPr>
              <w:pStyle w:val="TableParagraph"/>
              <w:spacing w:before="1"/>
              <w:ind w:left="69"/>
              <w:rPr>
                <w:sz w:val="20"/>
              </w:rPr>
            </w:pPr>
            <w:r>
              <w:rPr>
                <w:sz w:val="20"/>
              </w:rPr>
              <w:t>R.14.</w:t>
            </w:r>
          </w:p>
        </w:tc>
        <w:tc>
          <w:tcPr>
            <w:tcW w:w="1741" w:type="dxa"/>
            <w:shd w:val="clear" w:color="auto" w:fill="DDEBF7"/>
          </w:tcPr>
          <w:p>
            <w:pPr>
              <w:pStyle w:val="TableParagraph"/>
              <w:spacing w:before="1"/>
              <w:ind w:left="74" w:right="467"/>
              <w:rPr>
                <w:sz w:val="20"/>
              </w:rPr>
            </w:pPr>
            <w:r>
              <w:rPr>
                <w:sz w:val="20"/>
              </w:rPr>
              <w:t>45.</w:t>
            </w:r>
            <w:r>
              <w:rPr>
                <w:spacing w:val="-15"/>
                <w:sz w:val="20"/>
              </w:rPr>
              <w:t> </w:t>
            </w:r>
            <w:r>
              <w:rPr>
                <w:sz w:val="20"/>
              </w:rPr>
              <w:t>promoción presencial</w:t>
            </w:r>
            <w:r>
              <w:rPr>
                <w:spacing w:val="-2"/>
                <w:sz w:val="20"/>
              </w:rPr>
              <w:t> </w:t>
            </w:r>
            <w:r>
              <w:rPr>
                <w:sz w:val="20"/>
              </w:rPr>
              <w:t>de</w:t>
            </w:r>
          </w:p>
          <w:p>
            <w:pPr>
              <w:pStyle w:val="TableParagraph"/>
              <w:spacing w:line="224" w:lineRule="exact"/>
              <w:ind w:left="74"/>
              <w:rPr>
                <w:sz w:val="20"/>
              </w:rPr>
            </w:pPr>
            <w:r>
              <w:rPr>
                <w:sz w:val="20"/>
              </w:rPr>
              <w:t>innovaciones</w:t>
            </w:r>
          </w:p>
        </w:tc>
        <w:tc>
          <w:tcPr>
            <w:tcW w:w="1196" w:type="dxa"/>
          </w:tcPr>
          <w:p>
            <w:pPr>
              <w:pStyle w:val="TableParagraph"/>
              <w:spacing w:before="1"/>
              <w:ind w:left="73" w:firstLine="45"/>
              <w:rPr>
                <w:sz w:val="20"/>
              </w:rPr>
            </w:pPr>
            <w:r>
              <w:rPr>
                <w:w w:val="95"/>
                <w:sz w:val="20"/>
              </w:rPr>
              <w:t>Abierto </w:t>
            </w:r>
            <w:r>
              <w:rPr>
                <w:sz w:val="20"/>
              </w:rPr>
              <w:t>c/año.</w:t>
            </w: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4"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Borders>
              <w:right w:val="single" w:sz="8" w:space="0" w:color="000000"/>
            </w:tcBorders>
            <w:shd w:val="clear" w:color="auto" w:fill="ADAAAA"/>
          </w:tcPr>
          <w:p>
            <w:pPr>
              <w:pStyle w:val="TableParagraph"/>
              <w:rPr>
                <w:rFonts w:ascii="Times New Roman"/>
                <w:sz w:val="20"/>
              </w:rPr>
            </w:pPr>
          </w:p>
        </w:tc>
      </w:tr>
      <w:tr>
        <w:trPr>
          <w:trHeight w:val="731"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ind w:left="74" w:right="257"/>
              <w:rPr>
                <w:sz w:val="20"/>
              </w:rPr>
            </w:pPr>
            <w:r>
              <w:rPr>
                <w:sz w:val="20"/>
              </w:rPr>
              <w:t>46.promoción </w:t>
            </w:r>
            <w:r>
              <w:rPr>
                <w:spacing w:val="-8"/>
                <w:sz w:val="20"/>
              </w:rPr>
              <w:t>no </w:t>
            </w:r>
            <w:r>
              <w:rPr>
                <w:sz w:val="20"/>
              </w:rPr>
              <w:t>presencial</w:t>
            </w:r>
            <w:r>
              <w:rPr>
                <w:spacing w:val="-1"/>
                <w:sz w:val="20"/>
              </w:rPr>
              <w:t> </w:t>
            </w:r>
            <w:r>
              <w:rPr>
                <w:sz w:val="20"/>
              </w:rPr>
              <w:t>de</w:t>
            </w:r>
          </w:p>
          <w:p>
            <w:pPr>
              <w:pStyle w:val="TableParagraph"/>
              <w:spacing w:line="224" w:lineRule="exact"/>
              <w:ind w:left="74"/>
              <w:rPr>
                <w:sz w:val="20"/>
              </w:rPr>
            </w:pPr>
            <w:r>
              <w:rPr>
                <w:sz w:val="20"/>
              </w:rPr>
              <w:t>innovaciones</w:t>
            </w:r>
          </w:p>
        </w:tc>
        <w:tc>
          <w:tcPr>
            <w:tcW w:w="1196" w:type="dxa"/>
          </w:tcPr>
          <w:p>
            <w:pPr>
              <w:pStyle w:val="TableParagraph"/>
              <w:ind w:left="73" w:right="29"/>
              <w:rPr>
                <w:sz w:val="20"/>
              </w:rPr>
            </w:pPr>
            <w:r>
              <w:rPr>
                <w:w w:val="95"/>
                <w:sz w:val="20"/>
              </w:rPr>
              <w:t>Permanente. </w:t>
            </w:r>
            <w:r>
              <w:rPr>
                <w:sz w:val="20"/>
              </w:rPr>
              <w:t>5 años</w:t>
            </w: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4"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tcBorders>
              <w:right w:val="single" w:sz="8" w:space="0" w:color="000000"/>
            </w:tcBorders>
            <w:shd w:val="clear" w:color="auto" w:fill="ADAAAA"/>
          </w:tcPr>
          <w:p>
            <w:pPr>
              <w:pStyle w:val="TableParagraph"/>
              <w:rPr>
                <w:rFonts w:ascii="Times New Roman"/>
                <w:sz w:val="20"/>
              </w:rPr>
            </w:pPr>
          </w:p>
        </w:tc>
      </w:tr>
      <w:tr>
        <w:trPr>
          <w:trHeight w:val="733" w:hRule="atLeast"/>
        </w:trPr>
        <w:tc>
          <w:tcPr>
            <w:tcW w:w="1236" w:type="dxa"/>
            <w:vMerge/>
            <w:tcBorders>
              <w:top w:val="nil"/>
              <w:left w:val="single" w:sz="8" w:space="0" w:color="000000"/>
            </w:tcBorders>
          </w:tcPr>
          <w:p>
            <w:pPr>
              <w:rPr>
                <w:sz w:val="2"/>
                <w:szCs w:val="2"/>
              </w:rPr>
            </w:pPr>
          </w:p>
        </w:tc>
        <w:tc>
          <w:tcPr>
            <w:tcW w:w="1741" w:type="dxa"/>
            <w:shd w:val="clear" w:color="auto" w:fill="DDEBF7"/>
          </w:tcPr>
          <w:p>
            <w:pPr>
              <w:pStyle w:val="TableParagraph"/>
              <w:ind w:left="74"/>
              <w:rPr>
                <w:sz w:val="20"/>
              </w:rPr>
            </w:pPr>
            <w:r>
              <w:rPr>
                <w:sz w:val="20"/>
              </w:rPr>
              <w:t>47. imagen </w:t>
            </w:r>
            <w:r>
              <w:rPr>
                <w:w w:val="95"/>
                <w:sz w:val="20"/>
              </w:rPr>
              <w:t>institucional</w:t>
            </w:r>
          </w:p>
        </w:tc>
        <w:tc>
          <w:tcPr>
            <w:tcW w:w="1196" w:type="dxa"/>
          </w:tcPr>
          <w:p>
            <w:pPr>
              <w:pStyle w:val="TableParagraph"/>
              <w:spacing w:line="243" w:lineRule="exact"/>
              <w:ind w:left="73"/>
              <w:rPr>
                <w:sz w:val="20"/>
              </w:rPr>
            </w:pPr>
            <w:r>
              <w:rPr>
                <w:sz w:val="20"/>
              </w:rPr>
              <w:t>4to</w:t>
            </w:r>
          </w:p>
          <w:p>
            <w:pPr>
              <w:pStyle w:val="TableParagraph"/>
              <w:spacing w:line="240" w:lineRule="atLeast"/>
              <w:ind w:left="73"/>
              <w:rPr>
                <w:sz w:val="20"/>
              </w:rPr>
            </w:pPr>
            <w:r>
              <w:rPr>
                <w:w w:val="95"/>
                <w:sz w:val="20"/>
              </w:rPr>
              <w:t>trimestre </w:t>
            </w:r>
            <w:r>
              <w:rPr>
                <w:sz w:val="20"/>
              </w:rPr>
              <w:t>c/año</w:t>
            </w:r>
          </w:p>
        </w:tc>
        <w:tc>
          <w:tcPr>
            <w:tcW w:w="253" w:type="dxa"/>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4"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shd w:val="clear" w:color="auto" w:fill="ADAAA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Pr>
          <w:p>
            <w:pPr>
              <w:pStyle w:val="TableParagraph"/>
              <w:rPr>
                <w:rFonts w:ascii="Times New Roman"/>
                <w:sz w:val="20"/>
              </w:rPr>
            </w:pPr>
          </w:p>
        </w:tc>
        <w:tc>
          <w:tcPr>
            <w:tcW w:w="253" w:type="dxa"/>
            <w:shd w:val="clear" w:color="auto" w:fill="D0CECE"/>
          </w:tcPr>
          <w:p>
            <w:pPr>
              <w:pStyle w:val="TableParagraph"/>
              <w:rPr>
                <w:rFonts w:ascii="Times New Roman"/>
                <w:sz w:val="20"/>
              </w:rPr>
            </w:pPr>
          </w:p>
        </w:tc>
        <w:tc>
          <w:tcPr>
            <w:tcW w:w="253" w:type="dxa"/>
            <w:tcBorders>
              <w:right w:val="single" w:sz="8" w:space="0" w:color="000000"/>
            </w:tcBorders>
            <w:shd w:val="clear" w:color="auto" w:fill="ADAAAA"/>
          </w:tcPr>
          <w:p>
            <w:pPr>
              <w:pStyle w:val="TableParagraph"/>
              <w:rPr>
                <w:rFonts w:ascii="Times New Roman"/>
                <w:sz w:val="20"/>
              </w:rPr>
            </w:pPr>
          </w:p>
        </w:tc>
      </w:tr>
    </w:tbl>
    <w:p>
      <w:pPr>
        <w:spacing w:after="0"/>
        <w:rPr>
          <w:rFonts w:ascii="Times New Roman"/>
          <w:sz w:val="20"/>
        </w:rPr>
        <w:sectPr>
          <w:pgSz w:w="11910" w:h="16840"/>
          <w:pgMar w:header="0" w:footer="922" w:top="1580" w:bottom="1120" w:left="620" w:right="28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p>
      <w:pPr>
        <w:pStyle w:val="ListParagraph"/>
        <w:numPr>
          <w:ilvl w:val="0"/>
          <w:numId w:val="48"/>
        </w:numPr>
        <w:tabs>
          <w:tab w:pos="629" w:val="left" w:leader="none"/>
          <w:tab w:pos="631" w:val="left" w:leader="none"/>
        </w:tabs>
        <w:spacing w:line="240" w:lineRule="auto" w:before="90" w:after="0"/>
        <w:ind w:left="630" w:right="0" w:hanging="453"/>
        <w:jc w:val="left"/>
        <w:rPr>
          <w:rFonts w:ascii="Times New Roman"/>
          <w:b/>
          <w:sz w:val="24"/>
        </w:rPr>
      </w:pPr>
      <w:r>
        <w:rPr>
          <w:rFonts w:ascii="Times New Roman"/>
          <w:b/>
          <w:sz w:val="24"/>
        </w:rPr>
        <w:t>PRESUPUESTO</w:t>
      </w:r>
    </w:p>
    <w:p>
      <w:pPr>
        <w:spacing w:before="110"/>
        <w:ind w:left="178" w:right="0" w:firstLine="0"/>
        <w:jc w:val="left"/>
        <w:rPr>
          <w:rFonts w:ascii="Times New Roman" w:hAnsi="Times New Roman"/>
          <w:b/>
          <w:sz w:val="32"/>
        </w:rPr>
      </w:pPr>
      <w:r>
        <w:rPr>
          <w:rFonts w:ascii="Times New Roman" w:hAnsi="Times New Roman"/>
          <w:b/>
          <w:w w:val="75"/>
          <w:sz w:val="32"/>
        </w:rPr>
        <w:t>REQUERIMIENTO PRESUPUESTARIO GENERAL SEGÚN AÑO Y TOTAL PEI 2016 -2020</w:t>
      </w:r>
    </w:p>
    <w:p>
      <w:pPr>
        <w:pStyle w:val="BodyText"/>
        <w:rPr>
          <w:rFonts w:ascii="Times New Roman"/>
          <w:b/>
          <w:sz w:val="20"/>
        </w:rPr>
      </w:pPr>
    </w:p>
    <w:p>
      <w:pPr>
        <w:pStyle w:val="BodyText"/>
        <w:spacing w:before="5" w:after="1"/>
        <w:rPr>
          <w:rFonts w:ascii="Times New Roman"/>
          <w:b/>
          <w:sz w:val="1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2300"/>
        <w:gridCol w:w="1879"/>
        <w:gridCol w:w="2021"/>
        <w:gridCol w:w="1882"/>
        <w:gridCol w:w="2021"/>
        <w:gridCol w:w="2230"/>
      </w:tblGrid>
      <w:tr>
        <w:trPr>
          <w:trHeight w:val="825" w:hRule="atLeast"/>
        </w:trPr>
        <w:tc>
          <w:tcPr>
            <w:tcW w:w="1810" w:type="dxa"/>
            <w:shd w:val="clear" w:color="auto" w:fill="F1F1F1"/>
          </w:tcPr>
          <w:p>
            <w:pPr>
              <w:pStyle w:val="TableParagraph"/>
              <w:spacing w:before="6"/>
              <w:rPr>
                <w:rFonts w:ascii="Times New Roman"/>
                <w:b/>
                <w:sz w:val="43"/>
              </w:rPr>
            </w:pPr>
          </w:p>
          <w:p>
            <w:pPr>
              <w:pStyle w:val="TableParagraph"/>
              <w:spacing w:line="305" w:lineRule="exact"/>
              <w:ind w:left="257"/>
              <w:rPr>
                <w:rFonts w:ascii="Arial"/>
                <w:b/>
                <w:sz w:val="28"/>
              </w:rPr>
            </w:pPr>
            <w:r>
              <w:rPr>
                <w:rFonts w:ascii="Arial"/>
                <w:b/>
                <w:sz w:val="28"/>
              </w:rPr>
              <w:t>DETALLE</w:t>
            </w:r>
          </w:p>
        </w:tc>
        <w:tc>
          <w:tcPr>
            <w:tcW w:w="2300" w:type="dxa"/>
            <w:shd w:val="clear" w:color="auto" w:fill="6F2F9F"/>
          </w:tcPr>
          <w:p>
            <w:pPr>
              <w:pStyle w:val="TableParagraph"/>
              <w:spacing w:before="248"/>
              <w:ind w:left="779" w:right="769"/>
              <w:jc w:val="center"/>
              <w:rPr>
                <w:rFonts w:ascii="Arial" w:hAnsi="Arial"/>
                <w:sz w:val="28"/>
              </w:rPr>
            </w:pPr>
            <w:r>
              <w:rPr>
                <w:rFonts w:ascii="Arial" w:hAnsi="Arial"/>
                <w:color w:val="FFFFFF"/>
                <w:sz w:val="28"/>
              </w:rPr>
              <w:t>año 1</w:t>
            </w:r>
          </w:p>
        </w:tc>
        <w:tc>
          <w:tcPr>
            <w:tcW w:w="1879" w:type="dxa"/>
            <w:shd w:val="clear" w:color="auto" w:fill="C55811"/>
          </w:tcPr>
          <w:p>
            <w:pPr>
              <w:pStyle w:val="TableParagraph"/>
              <w:spacing w:before="248"/>
              <w:ind w:left="585"/>
              <w:rPr>
                <w:rFonts w:ascii="Arial" w:hAnsi="Arial"/>
                <w:sz w:val="28"/>
              </w:rPr>
            </w:pPr>
            <w:r>
              <w:rPr>
                <w:rFonts w:ascii="Arial" w:hAnsi="Arial"/>
                <w:color w:val="FFFFFF"/>
                <w:sz w:val="28"/>
              </w:rPr>
              <w:t>año 2</w:t>
            </w:r>
          </w:p>
        </w:tc>
        <w:tc>
          <w:tcPr>
            <w:tcW w:w="2021" w:type="dxa"/>
          </w:tcPr>
          <w:p>
            <w:pPr>
              <w:pStyle w:val="TableParagraph"/>
              <w:spacing w:before="248"/>
              <w:ind w:left="660"/>
              <w:rPr>
                <w:rFonts w:ascii="Arial" w:hAnsi="Arial"/>
                <w:sz w:val="28"/>
              </w:rPr>
            </w:pPr>
            <w:r>
              <w:rPr>
                <w:rFonts w:ascii="Arial" w:hAnsi="Arial"/>
                <w:sz w:val="28"/>
              </w:rPr>
              <w:t>año 3</w:t>
            </w:r>
          </w:p>
        </w:tc>
        <w:tc>
          <w:tcPr>
            <w:tcW w:w="1882" w:type="dxa"/>
            <w:shd w:val="clear" w:color="auto" w:fill="66FF33"/>
          </w:tcPr>
          <w:p>
            <w:pPr>
              <w:pStyle w:val="TableParagraph"/>
              <w:spacing w:before="248"/>
              <w:ind w:left="588"/>
              <w:rPr>
                <w:rFonts w:ascii="Arial" w:hAnsi="Arial"/>
                <w:sz w:val="28"/>
              </w:rPr>
            </w:pPr>
            <w:r>
              <w:rPr>
                <w:rFonts w:ascii="Arial" w:hAnsi="Arial"/>
                <w:sz w:val="28"/>
              </w:rPr>
              <w:t>año 4</w:t>
            </w:r>
          </w:p>
        </w:tc>
        <w:tc>
          <w:tcPr>
            <w:tcW w:w="2021" w:type="dxa"/>
            <w:shd w:val="clear" w:color="auto" w:fill="FF3300"/>
          </w:tcPr>
          <w:p>
            <w:pPr>
              <w:pStyle w:val="TableParagraph"/>
              <w:spacing w:before="248"/>
              <w:ind w:left="660"/>
              <w:rPr>
                <w:rFonts w:ascii="Arial" w:hAnsi="Arial"/>
                <w:sz w:val="28"/>
              </w:rPr>
            </w:pPr>
            <w:r>
              <w:rPr>
                <w:rFonts w:ascii="Arial" w:hAnsi="Arial"/>
                <w:sz w:val="28"/>
              </w:rPr>
              <w:t>año 5</w:t>
            </w:r>
          </w:p>
        </w:tc>
        <w:tc>
          <w:tcPr>
            <w:tcW w:w="2230" w:type="dxa"/>
            <w:shd w:val="clear" w:color="auto" w:fill="F1F1F1"/>
          </w:tcPr>
          <w:p>
            <w:pPr>
              <w:pStyle w:val="TableParagraph"/>
              <w:spacing w:before="248"/>
              <w:ind w:left="69"/>
              <w:rPr>
                <w:rFonts w:ascii="Arial"/>
                <w:b/>
                <w:sz w:val="28"/>
              </w:rPr>
            </w:pPr>
            <w:r>
              <w:rPr>
                <w:rFonts w:ascii="Arial"/>
                <w:b/>
                <w:sz w:val="28"/>
              </w:rPr>
              <w:t>TOTALES</w:t>
            </w:r>
          </w:p>
        </w:tc>
      </w:tr>
      <w:tr>
        <w:trPr>
          <w:trHeight w:val="1158" w:hRule="atLeast"/>
        </w:trPr>
        <w:tc>
          <w:tcPr>
            <w:tcW w:w="1810" w:type="dxa"/>
            <w:shd w:val="clear" w:color="auto" w:fill="F1F1F1"/>
          </w:tcPr>
          <w:p>
            <w:pPr>
              <w:pStyle w:val="TableParagraph"/>
              <w:spacing w:before="188"/>
              <w:ind w:left="69" w:right="138"/>
              <w:rPr>
                <w:rFonts w:ascii="Arial"/>
                <w:sz w:val="28"/>
              </w:rPr>
            </w:pPr>
            <w:r>
              <w:rPr>
                <w:rFonts w:ascii="Arial"/>
                <w:sz w:val="28"/>
              </w:rPr>
              <w:t>Presupuesto lineas de</w:t>
            </w:r>
          </w:p>
          <w:p>
            <w:pPr>
              <w:pStyle w:val="TableParagraph"/>
              <w:spacing w:line="305" w:lineRule="exact" w:before="2"/>
              <w:ind w:left="69"/>
              <w:rPr>
                <w:rFonts w:ascii="Arial" w:hAnsi="Arial"/>
                <w:sz w:val="28"/>
              </w:rPr>
            </w:pPr>
            <w:r>
              <w:rPr>
                <w:rFonts w:ascii="Arial" w:hAnsi="Arial"/>
                <w:sz w:val="28"/>
              </w:rPr>
              <w:t>accion/año</w:t>
            </w:r>
          </w:p>
        </w:tc>
        <w:tc>
          <w:tcPr>
            <w:tcW w:w="2300" w:type="dxa"/>
          </w:tcPr>
          <w:p>
            <w:pPr>
              <w:pStyle w:val="TableParagraph"/>
              <w:rPr>
                <w:rFonts w:ascii="Times New Roman"/>
                <w:b/>
                <w:sz w:val="30"/>
              </w:rPr>
            </w:pPr>
          </w:p>
          <w:p>
            <w:pPr>
              <w:pStyle w:val="TableParagraph"/>
              <w:spacing w:before="6"/>
              <w:rPr>
                <w:rFonts w:ascii="Times New Roman"/>
                <w:b/>
                <w:sz w:val="42"/>
              </w:rPr>
            </w:pPr>
          </w:p>
          <w:p>
            <w:pPr>
              <w:pStyle w:val="TableParagraph"/>
              <w:spacing w:line="305" w:lineRule="exact"/>
              <w:ind w:right="56"/>
              <w:jc w:val="right"/>
              <w:rPr>
                <w:rFonts w:ascii="Arial"/>
                <w:sz w:val="28"/>
              </w:rPr>
            </w:pPr>
            <w:r>
              <w:rPr>
                <w:rFonts w:ascii="Arial"/>
                <w:sz w:val="28"/>
              </w:rPr>
              <w:t>34.879.000</w:t>
            </w:r>
          </w:p>
        </w:tc>
        <w:tc>
          <w:tcPr>
            <w:tcW w:w="1879" w:type="dxa"/>
          </w:tcPr>
          <w:p>
            <w:pPr>
              <w:pStyle w:val="TableParagraph"/>
              <w:rPr>
                <w:rFonts w:ascii="Times New Roman"/>
                <w:b/>
                <w:sz w:val="30"/>
              </w:rPr>
            </w:pPr>
          </w:p>
          <w:p>
            <w:pPr>
              <w:pStyle w:val="TableParagraph"/>
              <w:spacing w:before="6"/>
              <w:rPr>
                <w:rFonts w:ascii="Times New Roman"/>
                <w:b/>
                <w:sz w:val="42"/>
              </w:rPr>
            </w:pPr>
          </w:p>
          <w:p>
            <w:pPr>
              <w:pStyle w:val="TableParagraph"/>
              <w:spacing w:line="305" w:lineRule="exact"/>
              <w:ind w:right="58"/>
              <w:jc w:val="right"/>
              <w:rPr>
                <w:rFonts w:ascii="Arial"/>
                <w:sz w:val="28"/>
              </w:rPr>
            </w:pPr>
            <w:r>
              <w:rPr>
                <w:rFonts w:ascii="Arial"/>
                <w:sz w:val="28"/>
              </w:rPr>
              <w:t>33.047.000</w:t>
            </w:r>
          </w:p>
        </w:tc>
        <w:tc>
          <w:tcPr>
            <w:tcW w:w="2021" w:type="dxa"/>
          </w:tcPr>
          <w:p>
            <w:pPr>
              <w:pStyle w:val="TableParagraph"/>
              <w:rPr>
                <w:rFonts w:ascii="Times New Roman"/>
                <w:b/>
                <w:sz w:val="30"/>
              </w:rPr>
            </w:pPr>
          </w:p>
          <w:p>
            <w:pPr>
              <w:pStyle w:val="TableParagraph"/>
              <w:spacing w:before="6"/>
              <w:rPr>
                <w:rFonts w:ascii="Times New Roman"/>
                <w:b/>
                <w:sz w:val="42"/>
              </w:rPr>
            </w:pPr>
          </w:p>
          <w:p>
            <w:pPr>
              <w:pStyle w:val="TableParagraph"/>
              <w:spacing w:line="305" w:lineRule="exact"/>
              <w:ind w:right="55"/>
              <w:jc w:val="right"/>
              <w:rPr>
                <w:rFonts w:ascii="Arial"/>
                <w:sz w:val="28"/>
              </w:rPr>
            </w:pPr>
            <w:r>
              <w:rPr>
                <w:rFonts w:ascii="Arial"/>
                <w:sz w:val="28"/>
              </w:rPr>
              <w:t>34.693.500</w:t>
            </w:r>
          </w:p>
        </w:tc>
        <w:tc>
          <w:tcPr>
            <w:tcW w:w="1882" w:type="dxa"/>
          </w:tcPr>
          <w:p>
            <w:pPr>
              <w:pStyle w:val="TableParagraph"/>
              <w:rPr>
                <w:rFonts w:ascii="Times New Roman"/>
                <w:b/>
                <w:sz w:val="30"/>
              </w:rPr>
            </w:pPr>
          </w:p>
          <w:p>
            <w:pPr>
              <w:pStyle w:val="TableParagraph"/>
              <w:spacing w:before="6"/>
              <w:rPr>
                <w:rFonts w:ascii="Times New Roman"/>
                <w:b/>
                <w:sz w:val="42"/>
              </w:rPr>
            </w:pPr>
          </w:p>
          <w:p>
            <w:pPr>
              <w:pStyle w:val="TableParagraph"/>
              <w:spacing w:line="305" w:lineRule="exact"/>
              <w:ind w:right="58"/>
              <w:jc w:val="right"/>
              <w:rPr>
                <w:rFonts w:ascii="Arial"/>
                <w:sz w:val="28"/>
              </w:rPr>
            </w:pPr>
            <w:r>
              <w:rPr>
                <w:rFonts w:ascii="Arial"/>
                <w:sz w:val="28"/>
              </w:rPr>
              <w:t>35.037.000</w:t>
            </w:r>
          </w:p>
        </w:tc>
        <w:tc>
          <w:tcPr>
            <w:tcW w:w="2021" w:type="dxa"/>
          </w:tcPr>
          <w:p>
            <w:pPr>
              <w:pStyle w:val="TableParagraph"/>
              <w:rPr>
                <w:rFonts w:ascii="Times New Roman"/>
                <w:b/>
                <w:sz w:val="30"/>
              </w:rPr>
            </w:pPr>
          </w:p>
          <w:p>
            <w:pPr>
              <w:pStyle w:val="TableParagraph"/>
              <w:spacing w:before="6"/>
              <w:rPr>
                <w:rFonts w:ascii="Times New Roman"/>
                <w:b/>
                <w:sz w:val="42"/>
              </w:rPr>
            </w:pPr>
          </w:p>
          <w:p>
            <w:pPr>
              <w:pStyle w:val="TableParagraph"/>
              <w:spacing w:line="305" w:lineRule="exact"/>
              <w:ind w:right="55"/>
              <w:jc w:val="right"/>
              <w:rPr>
                <w:rFonts w:ascii="Arial"/>
                <w:sz w:val="28"/>
              </w:rPr>
            </w:pPr>
            <w:r>
              <w:rPr>
                <w:rFonts w:ascii="Arial"/>
                <w:sz w:val="28"/>
              </w:rPr>
              <w:t>33.228.000</w:t>
            </w:r>
          </w:p>
        </w:tc>
        <w:tc>
          <w:tcPr>
            <w:tcW w:w="2230" w:type="dxa"/>
            <w:shd w:val="clear" w:color="auto" w:fill="F1F1F1"/>
          </w:tcPr>
          <w:p>
            <w:pPr>
              <w:pStyle w:val="TableParagraph"/>
              <w:rPr>
                <w:rFonts w:ascii="Times New Roman"/>
                <w:b/>
                <w:sz w:val="30"/>
              </w:rPr>
            </w:pPr>
          </w:p>
          <w:p>
            <w:pPr>
              <w:pStyle w:val="TableParagraph"/>
              <w:spacing w:before="6"/>
              <w:rPr>
                <w:rFonts w:ascii="Times New Roman"/>
                <w:b/>
                <w:sz w:val="42"/>
              </w:rPr>
            </w:pPr>
          </w:p>
          <w:p>
            <w:pPr>
              <w:pStyle w:val="TableParagraph"/>
              <w:spacing w:line="305" w:lineRule="exact"/>
              <w:ind w:right="55"/>
              <w:jc w:val="right"/>
              <w:rPr>
                <w:rFonts w:ascii="Arial"/>
                <w:sz w:val="28"/>
              </w:rPr>
            </w:pPr>
            <w:r>
              <w:rPr>
                <w:rFonts w:ascii="Arial"/>
                <w:sz w:val="28"/>
              </w:rPr>
              <w:t>170.884.500</w:t>
            </w:r>
          </w:p>
        </w:tc>
      </w:tr>
      <w:tr>
        <w:trPr>
          <w:trHeight w:val="887" w:hRule="atLeast"/>
        </w:trPr>
        <w:tc>
          <w:tcPr>
            <w:tcW w:w="1810" w:type="dxa"/>
            <w:shd w:val="clear" w:color="auto" w:fill="F1F1F1"/>
          </w:tcPr>
          <w:p>
            <w:pPr>
              <w:pStyle w:val="TableParagraph"/>
              <w:spacing w:line="322" w:lineRule="exact" w:before="246"/>
              <w:ind w:left="69" w:right="279"/>
              <w:rPr>
                <w:rFonts w:ascii="Arial"/>
                <w:sz w:val="28"/>
              </w:rPr>
            </w:pPr>
            <w:r>
              <w:rPr>
                <w:rFonts w:ascii="Arial"/>
                <w:sz w:val="28"/>
              </w:rPr>
              <w:t>Imprevistos (10 %)</w:t>
            </w:r>
          </w:p>
        </w:tc>
        <w:tc>
          <w:tcPr>
            <w:tcW w:w="2300" w:type="dxa"/>
          </w:tcPr>
          <w:p>
            <w:pPr>
              <w:pStyle w:val="TableParagraph"/>
              <w:rPr>
                <w:rFonts w:ascii="Times New Roman"/>
                <w:b/>
                <w:sz w:val="30"/>
              </w:rPr>
            </w:pPr>
          </w:p>
          <w:p>
            <w:pPr>
              <w:pStyle w:val="TableParagraph"/>
              <w:spacing w:line="305" w:lineRule="exact" w:before="217"/>
              <w:ind w:right="56"/>
              <w:jc w:val="right"/>
              <w:rPr>
                <w:rFonts w:ascii="Arial"/>
                <w:sz w:val="28"/>
              </w:rPr>
            </w:pPr>
            <w:r>
              <w:rPr>
                <w:rFonts w:ascii="Arial"/>
                <w:sz w:val="28"/>
              </w:rPr>
              <w:t>3.487.900</w:t>
            </w:r>
          </w:p>
        </w:tc>
        <w:tc>
          <w:tcPr>
            <w:tcW w:w="1879" w:type="dxa"/>
          </w:tcPr>
          <w:p>
            <w:pPr>
              <w:pStyle w:val="TableParagraph"/>
              <w:rPr>
                <w:rFonts w:ascii="Times New Roman"/>
                <w:b/>
                <w:sz w:val="30"/>
              </w:rPr>
            </w:pPr>
          </w:p>
          <w:p>
            <w:pPr>
              <w:pStyle w:val="TableParagraph"/>
              <w:spacing w:line="305" w:lineRule="exact" w:before="217"/>
              <w:ind w:right="57"/>
              <w:jc w:val="right"/>
              <w:rPr>
                <w:rFonts w:ascii="Arial"/>
                <w:sz w:val="28"/>
              </w:rPr>
            </w:pPr>
            <w:r>
              <w:rPr>
                <w:rFonts w:ascii="Arial"/>
                <w:sz w:val="28"/>
              </w:rPr>
              <w:t>3.304.700</w:t>
            </w:r>
          </w:p>
        </w:tc>
        <w:tc>
          <w:tcPr>
            <w:tcW w:w="2021" w:type="dxa"/>
          </w:tcPr>
          <w:p>
            <w:pPr>
              <w:pStyle w:val="TableParagraph"/>
              <w:rPr>
                <w:rFonts w:ascii="Times New Roman"/>
                <w:b/>
                <w:sz w:val="30"/>
              </w:rPr>
            </w:pPr>
          </w:p>
          <w:p>
            <w:pPr>
              <w:pStyle w:val="TableParagraph"/>
              <w:spacing w:line="305" w:lineRule="exact" w:before="217"/>
              <w:ind w:right="55"/>
              <w:jc w:val="right"/>
              <w:rPr>
                <w:rFonts w:ascii="Arial"/>
                <w:sz w:val="28"/>
              </w:rPr>
            </w:pPr>
            <w:r>
              <w:rPr>
                <w:rFonts w:ascii="Arial"/>
                <w:sz w:val="28"/>
              </w:rPr>
              <w:t>3.469.350</w:t>
            </w:r>
          </w:p>
        </w:tc>
        <w:tc>
          <w:tcPr>
            <w:tcW w:w="1882" w:type="dxa"/>
          </w:tcPr>
          <w:p>
            <w:pPr>
              <w:pStyle w:val="TableParagraph"/>
              <w:rPr>
                <w:rFonts w:ascii="Times New Roman"/>
                <w:b/>
                <w:sz w:val="30"/>
              </w:rPr>
            </w:pPr>
          </w:p>
          <w:p>
            <w:pPr>
              <w:pStyle w:val="TableParagraph"/>
              <w:spacing w:line="305" w:lineRule="exact" w:before="217"/>
              <w:ind w:right="58"/>
              <w:jc w:val="right"/>
              <w:rPr>
                <w:rFonts w:ascii="Arial"/>
                <w:sz w:val="28"/>
              </w:rPr>
            </w:pPr>
            <w:r>
              <w:rPr>
                <w:rFonts w:ascii="Arial"/>
                <w:sz w:val="28"/>
              </w:rPr>
              <w:t>3.503.700</w:t>
            </w:r>
          </w:p>
        </w:tc>
        <w:tc>
          <w:tcPr>
            <w:tcW w:w="2021" w:type="dxa"/>
          </w:tcPr>
          <w:p>
            <w:pPr>
              <w:pStyle w:val="TableParagraph"/>
              <w:rPr>
                <w:rFonts w:ascii="Times New Roman"/>
                <w:b/>
                <w:sz w:val="30"/>
              </w:rPr>
            </w:pPr>
          </w:p>
          <w:p>
            <w:pPr>
              <w:pStyle w:val="TableParagraph"/>
              <w:spacing w:line="305" w:lineRule="exact" w:before="217"/>
              <w:ind w:right="55"/>
              <w:jc w:val="right"/>
              <w:rPr>
                <w:rFonts w:ascii="Arial"/>
                <w:sz w:val="28"/>
              </w:rPr>
            </w:pPr>
            <w:r>
              <w:rPr>
                <w:rFonts w:ascii="Arial"/>
                <w:sz w:val="28"/>
              </w:rPr>
              <w:t>3.322.800</w:t>
            </w:r>
          </w:p>
        </w:tc>
        <w:tc>
          <w:tcPr>
            <w:tcW w:w="2230" w:type="dxa"/>
            <w:shd w:val="clear" w:color="auto" w:fill="F1F1F1"/>
          </w:tcPr>
          <w:p>
            <w:pPr>
              <w:pStyle w:val="TableParagraph"/>
              <w:rPr>
                <w:rFonts w:ascii="Times New Roman"/>
                <w:b/>
                <w:sz w:val="30"/>
              </w:rPr>
            </w:pPr>
          </w:p>
          <w:p>
            <w:pPr>
              <w:pStyle w:val="TableParagraph"/>
              <w:spacing w:line="305" w:lineRule="exact" w:before="217"/>
              <w:ind w:right="55"/>
              <w:jc w:val="right"/>
              <w:rPr>
                <w:rFonts w:ascii="Arial"/>
                <w:sz w:val="28"/>
              </w:rPr>
            </w:pPr>
            <w:r>
              <w:rPr>
                <w:rFonts w:ascii="Arial"/>
                <w:sz w:val="28"/>
              </w:rPr>
              <w:t>17.088.450</w:t>
            </w:r>
          </w:p>
        </w:tc>
      </w:tr>
      <w:tr>
        <w:trPr>
          <w:trHeight w:val="953" w:hRule="atLeast"/>
        </w:trPr>
        <w:tc>
          <w:tcPr>
            <w:tcW w:w="1810" w:type="dxa"/>
            <w:shd w:val="clear" w:color="auto" w:fill="F1F1F1"/>
          </w:tcPr>
          <w:p>
            <w:pPr>
              <w:pStyle w:val="TableParagraph"/>
              <w:rPr>
                <w:rFonts w:ascii="Times New Roman"/>
                <w:b/>
                <w:sz w:val="30"/>
              </w:rPr>
            </w:pPr>
          </w:p>
          <w:p>
            <w:pPr>
              <w:pStyle w:val="TableParagraph"/>
              <w:spacing w:before="7"/>
              <w:rPr>
                <w:rFonts w:ascii="Times New Roman"/>
                <w:b/>
                <w:sz w:val="24"/>
              </w:rPr>
            </w:pPr>
          </w:p>
          <w:p>
            <w:pPr>
              <w:pStyle w:val="TableParagraph"/>
              <w:spacing w:line="305" w:lineRule="exact"/>
              <w:ind w:left="69"/>
              <w:rPr>
                <w:rFonts w:ascii="Arial" w:hAnsi="Arial"/>
                <w:sz w:val="28"/>
              </w:rPr>
            </w:pPr>
            <w:r>
              <w:rPr>
                <w:rFonts w:ascii="Arial" w:hAnsi="Arial"/>
                <w:sz w:val="28"/>
              </w:rPr>
              <w:t>Total año</w:t>
            </w:r>
          </w:p>
        </w:tc>
        <w:tc>
          <w:tcPr>
            <w:tcW w:w="2300" w:type="dxa"/>
          </w:tcPr>
          <w:p>
            <w:pPr>
              <w:pStyle w:val="TableParagraph"/>
              <w:rPr>
                <w:rFonts w:ascii="Times New Roman"/>
                <w:b/>
                <w:sz w:val="30"/>
              </w:rPr>
            </w:pPr>
          </w:p>
          <w:p>
            <w:pPr>
              <w:pStyle w:val="TableParagraph"/>
              <w:spacing w:before="7"/>
              <w:rPr>
                <w:rFonts w:ascii="Times New Roman"/>
                <w:b/>
                <w:sz w:val="24"/>
              </w:rPr>
            </w:pPr>
          </w:p>
          <w:p>
            <w:pPr>
              <w:pStyle w:val="TableParagraph"/>
              <w:spacing w:line="305" w:lineRule="exact"/>
              <w:ind w:right="56"/>
              <w:jc w:val="right"/>
              <w:rPr>
                <w:rFonts w:ascii="Arial"/>
                <w:sz w:val="28"/>
              </w:rPr>
            </w:pPr>
            <w:r>
              <w:rPr>
                <w:rFonts w:ascii="Arial"/>
                <w:sz w:val="28"/>
              </w:rPr>
              <w:t>38.366.900</w:t>
            </w:r>
          </w:p>
        </w:tc>
        <w:tc>
          <w:tcPr>
            <w:tcW w:w="1879" w:type="dxa"/>
          </w:tcPr>
          <w:p>
            <w:pPr>
              <w:pStyle w:val="TableParagraph"/>
              <w:rPr>
                <w:rFonts w:ascii="Times New Roman"/>
                <w:b/>
                <w:sz w:val="30"/>
              </w:rPr>
            </w:pPr>
          </w:p>
          <w:p>
            <w:pPr>
              <w:pStyle w:val="TableParagraph"/>
              <w:spacing w:before="7"/>
              <w:rPr>
                <w:rFonts w:ascii="Times New Roman"/>
                <w:b/>
                <w:sz w:val="24"/>
              </w:rPr>
            </w:pPr>
          </w:p>
          <w:p>
            <w:pPr>
              <w:pStyle w:val="TableParagraph"/>
              <w:spacing w:line="305" w:lineRule="exact"/>
              <w:ind w:right="58"/>
              <w:jc w:val="right"/>
              <w:rPr>
                <w:rFonts w:ascii="Arial"/>
                <w:sz w:val="28"/>
              </w:rPr>
            </w:pPr>
            <w:r>
              <w:rPr>
                <w:rFonts w:ascii="Arial"/>
                <w:sz w:val="28"/>
              </w:rPr>
              <w:t>36.351.700</w:t>
            </w:r>
          </w:p>
        </w:tc>
        <w:tc>
          <w:tcPr>
            <w:tcW w:w="2021" w:type="dxa"/>
          </w:tcPr>
          <w:p>
            <w:pPr>
              <w:pStyle w:val="TableParagraph"/>
              <w:rPr>
                <w:rFonts w:ascii="Times New Roman"/>
                <w:b/>
                <w:sz w:val="30"/>
              </w:rPr>
            </w:pPr>
          </w:p>
          <w:p>
            <w:pPr>
              <w:pStyle w:val="TableParagraph"/>
              <w:spacing w:before="7"/>
              <w:rPr>
                <w:rFonts w:ascii="Times New Roman"/>
                <w:b/>
                <w:sz w:val="24"/>
              </w:rPr>
            </w:pPr>
          </w:p>
          <w:p>
            <w:pPr>
              <w:pStyle w:val="TableParagraph"/>
              <w:spacing w:line="305" w:lineRule="exact"/>
              <w:ind w:right="55"/>
              <w:jc w:val="right"/>
              <w:rPr>
                <w:rFonts w:ascii="Arial"/>
                <w:sz w:val="28"/>
              </w:rPr>
            </w:pPr>
            <w:r>
              <w:rPr>
                <w:rFonts w:ascii="Arial"/>
                <w:sz w:val="28"/>
              </w:rPr>
              <w:t>38.162.850</w:t>
            </w:r>
          </w:p>
        </w:tc>
        <w:tc>
          <w:tcPr>
            <w:tcW w:w="1882" w:type="dxa"/>
          </w:tcPr>
          <w:p>
            <w:pPr>
              <w:pStyle w:val="TableParagraph"/>
              <w:rPr>
                <w:rFonts w:ascii="Times New Roman"/>
                <w:b/>
                <w:sz w:val="30"/>
              </w:rPr>
            </w:pPr>
          </w:p>
          <w:p>
            <w:pPr>
              <w:pStyle w:val="TableParagraph"/>
              <w:spacing w:before="7"/>
              <w:rPr>
                <w:rFonts w:ascii="Times New Roman"/>
                <w:b/>
                <w:sz w:val="24"/>
              </w:rPr>
            </w:pPr>
          </w:p>
          <w:p>
            <w:pPr>
              <w:pStyle w:val="TableParagraph"/>
              <w:spacing w:line="305" w:lineRule="exact"/>
              <w:ind w:right="58"/>
              <w:jc w:val="right"/>
              <w:rPr>
                <w:rFonts w:ascii="Arial"/>
                <w:sz w:val="28"/>
              </w:rPr>
            </w:pPr>
            <w:r>
              <w:rPr>
                <w:rFonts w:ascii="Arial"/>
                <w:sz w:val="28"/>
              </w:rPr>
              <w:t>38.540.700</w:t>
            </w:r>
          </w:p>
        </w:tc>
        <w:tc>
          <w:tcPr>
            <w:tcW w:w="2021" w:type="dxa"/>
          </w:tcPr>
          <w:p>
            <w:pPr>
              <w:pStyle w:val="TableParagraph"/>
              <w:rPr>
                <w:rFonts w:ascii="Times New Roman"/>
                <w:b/>
                <w:sz w:val="30"/>
              </w:rPr>
            </w:pPr>
          </w:p>
          <w:p>
            <w:pPr>
              <w:pStyle w:val="TableParagraph"/>
              <w:spacing w:before="7"/>
              <w:rPr>
                <w:rFonts w:ascii="Times New Roman"/>
                <w:b/>
                <w:sz w:val="24"/>
              </w:rPr>
            </w:pPr>
          </w:p>
          <w:p>
            <w:pPr>
              <w:pStyle w:val="TableParagraph"/>
              <w:spacing w:line="305" w:lineRule="exact"/>
              <w:ind w:right="55"/>
              <w:jc w:val="right"/>
              <w:rPr>
                <w:rFonts w:ascii="Arial"/>
                <w:sz w:val="28"/>
              </w:rPr>
            </w:pPr>
            <w:r>
              <w:rPr>
                <w:rFonts w:ascii="Arial"/>
                <w:sz w:val="28"/>
              </w:rPr>
              <w:t>36.550.800</w:t>
            </w:r>
          </w:p>
        </w:tc>
        <w:tc>
          <w:tcPr>
            <w:tcW w:w="2230" w:type="dxa"/>
            <w:shd w:val="clear" w:color="auto" w:fill="A6A6A6"/>
          </w:tcPr>
          <w:p>
            <w:pPr>
              <w:pStyle w:val="TableParagraph"/>
              <w:rPr>
                <w:rFonts w:ascii="Times New Roman"/>
                <w:sz w:val="28"/>
              </w:rPr>
            </w:pPr>
          </w:p>
        </w:tc>
      </w:tr>
      <w:tr>
        <w:trPr>
          <w:trHeight w:val="969" w:hRule="atLeast"/>
        </w:trPr>
        <w:tc>
          <w:tcPr>
            <w:tcW w:w="1810" w:type="dxa"/>
            <w:shd w:val="clear" w:color="auto" w:fill="F1F1F1"/>
          </w:tcPr>
          <w:p>
            <w:pPr>
              <w:pStyle w:val="TableParagraph"/>
              <w:spacing w:before="5"/>
              <w:rPr>
                <w:rFonts w:ascii="Times New Roman"/>
                <w:b/>
                <w:sz w:val="28"/>
              </w:rPr>
            </w:pPr>
          </w:p>
          <w:p>
            <w:pPr>
              <w:pStyle w:val="TableParagraph"/>
              <w:spacing w:line="322" w:lineRule="exact" w:before="1"/>
              <w:ind w:left="69" w:right="373"/>
              <w:rPr>
                <w:rFonts w:ascii="Arial"/>
                <w:b/>
                <w:sz w:val="28"/>
              </w:rPr>
            </w:pPr>
            <w:r>
              <w:rPr>
                <w:rFonts w:ascii="Arial"/>
                <w:b/>
                <w:sz w:val="28"/>
              </w:rPr>
              <w:t>Total total PEI</w:t>
            </w:r>
          </w:p>
        </w:tc>
        <w:tc>
          <w:tcPr>
            <w:tcW w:w="10103" w:type="dxa"/>
            <w:gridSpan w:val="5"/>
            <w:tcBorders>
              <w:bottom w:val="single" w:sz="8" w:space="0" w:color="000000"/>
            </w:tcBorders>
          </w:tcPr>
          <w:p>
            <w:pPr>
              <w:pStyle w:val="TableParagraph"/>
              <w:rPr>
                <w:rFonts w:ascii="Times New Roman"/>
                <w:sz w:val="28"/>
              </w:rPr>
            </w:pPr>
          </w:p>
        </w:tc>
        <w:tc>
          <w:tcPr>
            <w:tcW w:w="2230" w:type="dxa"/>
            <w:tcBorders>
              <w:bottom w:val="single" w:sz="8" w:space="0" w:color="000000"/>
              <w:right w:val="single" w:sz="8" w:space="0" w:color="000000"/>
            </w:tcBorders>
            <w:shd w:val="clear" w:color="auto" w:fill="F1F1F1"/>
          </w:tcPr>
          <w:p>
            <w:pPr>
              <w:pStyle w:val="TableParagraph"/>
              <w:rPr>
                <w:rFonts w:ascii="Times New Roman"/>
                <w:b/>
                <w:sz w:val="30"/>
              </w:rPr>
            </w:pPr>
          </w:p>
          <w:p>
            <w:pPr>
              <w:pStyle w:val="TableParagraph"/>
              <w:rPr>
                <w:rFonts w:ascii="Times New Roman"/>
                <w:b/>
                <w:sz w:val="26"/>
              </w:rPr>
            </w:pPr>
          </w:p>
          <w:p>
            <w:pPr>
              <w:pStyle w:val="TableParagraph"/>
              <w:spacing w:line="305" w:lineRule="exact"/>
              <w:ind w:right="50"/>
              <w:jc w:val="right"/>
              <w:rPr>
                <w:rFonts w:ascii="Arial"/>
                <w:b/>
                <w:sz w:val="28"/>
              </w:rPr>
            </w:pPr>
            <w:r>
              <w:rPr>
                <w:rFonts w:ascii="Arial"/>
                <w:b/>
                <w:sz w:val="28"/>
              </w:rPr>
              <w:t>187.972.950</w:t>
            </w:r>
          </w:p>
        </w:tc>
      </w:tr>
    </w:tbl>
    <w:p>
      <w:pPr>
        <w:spacing w:after="0" w:line="305" w:lineRule="exact"/>
        <w:jc w:val="right"/>
        <w:rPr>
          <w:rFonts w:ascii="Arial"/>
          <w:sz w:val="28"/>
        </w:rPr>
        <w:sectPr>
          <w:footerReference w:type="default" r:id="rId36"/>
          <w:pgSz w:w="16840" w:h="11910" w:orient="landscape"/>
          <w:pgMar w:footer="923" w:header="0" w:top="1100" w:bottom="1120" w:left="1240" w:right="1220"/>
          <w:pgNumType w:start="74"/>
        </w:sectPr>
      </w:pPr>
    </w:p>
    <w:p>
      <w:pPr>
        <w:pStyle w:val="BodyText"/>
        <w:rPr>
          <w:rFonts w:ascii="Times New Roman"/>
          <w:b/>
          <w:sz w:val="20"/>
        </w:rPr>
      </w:pPr>
    </w:p>
    <w:p>
      <w:pPr>
        <w:pStyle w:val="BodyText"/>
        <w:spacing w:before="9"/>
        <w:rPr>
          <w:rFonts w:ascii="Times New Roman"/>
          <w:b/>
          <w:sz w:val="26"/>
        </w:rPr>
      </w:pPr>
    </w:p>
    <w:p>
      <w:pPr>
        <w:tabs>
          <w:tab w:pos="11772" w:val="left" w:leader="none"/>
        </w:tabs>
        <w:spacing w:before="57"/>
        <w:ind w:left="178" w:right="0" w:firstLine="0"/>
        <w:jc w:val="left"/>
        <w:rPr>
          <w:rFonts w:ascii="Calibri" w:hAnsi="Calibri"/>
          <w:b/>
          <w:sz w:val="22"/>
        </w:rPr>
      </w:pPr>
      <w:r>
        <w:rPr>
          <w:rFonts w:ascii="Calibri" w:hAnsi="Calibri"/>
          <w:b/>
          <w:sz w:val="22"/>
        </w:rPr>
        <w:t>RESUMEN DE REQUERIMIENTO PRESUESTARIO    SEGÚN LINEA</w:t>
      </w:r>
      <w:r>
        <w:rPr>
          <w:rFonts w:ascii="Calibri" w:hAnsi="Calibri"/>
          <w:b/>
          <w:spacing w:val="-19"/>
          <w:sz w:val="22"/>
        </w:rPr>
        <w:t> </w:t>
      </w:r>
      <w:r>
        <w:rPr>
          <w:rFonts w:ascii="Calibri" w:hAnsi="Calibri"/>
          <w:b/>
          <w:sz w:val="22"/>
        </w:rPr>
        <w:t>DE</w:t>
      </w:r>
      <w:r>
        <w:rPr>
          <w:rFonts w:ascii="Calibri" w:hAnsi="Calibri"/>
          <w:b/>
          <w:spacing w:val="-3"/>
          <w:sz w:val="22"/>
        </w:rPr>
        <w:t> </w:t>
      </w:r>
      <w:r>
        <w:rPr>
          <w:rFonts w:ascii="Calibri" w:hAnsi="Calibri"/>
          <w:b/>
          <w:sz w:val="22"/>
        </w:rPr>
        <w:t>ACCION</w:t>
        <w:tab/>
        <w:t>PEI 2016</w:t>
      </w:r>
      <w:r>
        <w:rPr>
          <w:rFonts w:ascii="Calibri" w:hAnsi="Calibri"/>
          <w:b/>
          <w:spacing w:val="-2"/>
          <w:sz w:val="22"/>
        </w:rPr>
        <w:t> </w:t>
      </w:r>
      <w:r>
        <w:rPr>
          <w:rFonts w:ascii="Calibri" w:hAnsi="Calibri"/>
          <w:b/>
          <w:sz w:val="22"/>
        </w:rPr>
        <w:t>-20120</w:t>
      </w:r>
    </w:p>
    <w:p>
      <w:pPr>
        <w:pStyle w:val="BodyText"/>
        <w:spacing w:before="8" w:after="1"/>
        <w:rPr>
          <w:rFonts w:ascii="Calibri"/>
          <w:b/>
          <w:sz w:val="1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1209"/>
        <w:gridCol w:w="1392"/>
      </w:tblGrid>
      <w:tr>
        <w:trPr>
          <w:trHeight w:val="304" w:hRule="atLeast"/>
        </w:trPr>
        <w:tc>
          <w:tcPr>
            <w:tcW w:w="1541" w:type="dxa"/>
            <w:vMerge w:val="restart"/>
            <w:shd w:val="clear" w:color="auto" w:fill="6FAC46"/>
            <w:textDirection w:val="tbRl"/>
          </w:tcPr>
          <w:p>
            <w:pPr>
              <w:pStyle w:val="TableParagraph"/>
              <w:rPr>
                <w:b/>
                <w:sz w:val="24"/>
              </w:rPr>
            </w:pPr>
          </w:p>
          <w:p>
            <w:pPr>
              <w:pStyle w:val="TableParagraph"/>
              <w:spacing w:before="12"/>
              <w:rPr>
                <w:b/>
                <w:sz w:val="25"/>
              </w:rPr>
            </w:pPr>
          </w:p>
          <w:p>
            <w:pPr>
              <w:pStyle w:val="TableParagraph"/>
              <w:ind w:left="484"/>
              <w:rPr>
                <w:rFonts w:ascii="Times New Roman"/>
                <w:b/>
                <w:sz w:val="22"/>
              </w:rPr>
            </w:pPr>
            <w:r>
              <w:rPr>
                <w:rFonts w:ascii="Times New Roman"/>
                <w:b/>
                <w:w w:val="75"/>
                <w:sz w:val="22"/>
              </w:rPr>
              <w:t>YACHAY</w:t>
            </w:r>
          </w:p>
        </w:tc>
        <w:tc>
          <w:tcPr>
            <w:tcW w:w="11209" w:type="dxa"/>
            <w:shd w:val="clear" w:color="auto" w:fill="6FAC46"/>
          </w:tcPr>
          <w:p>
            <w:pPr>
              <w:pStyle w:val="TableParagraph"/>
              <w:spacing w:before="3"/>
              <w:ind w:left="69"/>
              <w:rPr>
                <w:rFonts w:ascii="Times New Roman" w:hAnsi="Times New Roman"/>
                <w:b/>
                <w:sz w:val="22"/>
              </w:rPr>
            </w:pPr>
            <w:r>
              <w:rPr>
                <w:rFonts w:ascii="Times New Roman" w:hAnsi="Times New Roman"/>
                <w:b/>
                <w:w w:val="75"/>
                <w:sz w:val="22"/>
              </w:rPr>
              <w:t>Línea de acción</w:t>
            </w:r>
          </w:p>
        </w:tc>
        <w:tc>
          <w:tcPr>
            <w:tcW w:w="1392" w:type="dxa"/>
            <w:shd w:val="clear" w:color="auto" w:fill="6FAC46"/>
          </w:tcPr>
          <w:p>
            <w:pPr>
              <w:pStyle w:val="TableParagraph"/>
              <w:spacing w:before="3"/>
              <w:ind w:left="67"/>
              <w:rPr>
                <w:rFonts w:ascii="Times New Roman"/>
                <w:b/>
                <w:sz w:val="22"/>
              </w:rPr>
            </w:pPr>
            <w:r>
              <w:rPr>
                <w:rFonts w:ascii="Times New Roman"/>
                <w:b/>
                <w:w w:val="75"/>
                <w:sz w:val="22"/>
              </w:rPr>
              <w:t>SUBTOTAL</w:t>
            </w:r>
          </w:p>
        </w:tc>
      </w:tr>
      <w:tr>
        <w:trPr>
          <w:trHeight w:val="328" w:hRule="atLeast"/>
        </w:trPr>
        <w:tc>
          <w:tcPr>
            <w:tcW w:w="1541" w:type="dxa"/>
            <w:vMerge/>
            <w:tcBorders>
              <w:top w:val="nil"/>
            </w:tcBorders>
            <w:shd w:val="clear" w:color="auto" w:fill="6FAC46"/>
            <w:textDirection w:val="tbRl"/>
          </w:tcPr>
          <w:p>
            <w:pPr>
              <w:rPr>
                <w:sz w:val="2"/>
                <w:szCs w:val="2"/>
              </w:rPr>
            </w:pPr>
          </w:p>
        </w:tc>
        <w:tc>
          <w:tcPr>
            <w:tcW w:w="11209" w:type="dxa"/>
          </w:tcPr>
          <w:p>
            <w:pPr>
              <w:pStyle w:val="TableParagraph"/>
              <w:tabs>
                <w:tab w:pos="429" w:val="left" w:leader="none"/>
              </w:tabs>
              <w:spacing w:before="3"/>
              <w:ind w:left="69"/>
              <w:rPr>
                <w:rFonts w:ascii="Times New Roman" w:hAnsi="Times New Roman"/>
                <w:b/>
                <w:sz w:val="22"/>
              </w:rPr>
            </w:pPr>
            <w:r>
              <w:rPr>
                <w:rFonts w:ascii="Times New Roman" w:hAnsi="Times New Roman"/>
                <w:b/>
                <w:w w:val="75"/>
                <w:sz w:val="22"/>
              </w:rPr>
              <w:t>1.</w:t>
              <w:tab/>
              <w:t>PLAN</w:t>
            </w:r>
            <w:r>
              <w:rPr>
                <w:rFonts w:ascii="Times New Roman" w:hAnsi="Times New Roman"/>
                <w:b/>
                <w:spacing w:val="-10"/>
                <w:w w:val="75"/>
                <w:sz w:val="22"/>
              </w:rPr>
              <w:t> </w:t>
            </w:r>
            <w:r>
              <w:rPr>
                <w:rFonts w:ascii="Times New Roman" w:hAnsi="Times New Roman"/>
                <w:b/>
                <w:w w:val="75"/>
                <w:sz w:val="22"/>
              </w:rPr>
              <w:t>Y</w:t>
            </w:r>
            <w:r>
              <w:rPr>
                <w:rFonts w:ascii="Times New Roman" w:hAnsi="Times New Roman"/>
                <w:b/>
                <w:spacing w:val="-7"/>
                <w:w w:val="75"/>
                <w:sz w:val="22"/>
              </w:rPr>
              <w:t> </w:t>
            </w:r>
            <w:r>
              <w:rPr>
                <w:rFonts w:ascii="Times New Roman" w:hAnsi="Times New Roman"/>
                <w:b/>
                <w:w w:val="75"/>
                <w:sz w:val="22"/>
              </w:rPr>
              <w:t>PROGRAMA</w:t>
            </w:r>
            <w:r>
              <w:rPr>
                <w:rFonts w:ascii="Times New Roman" w:hAnsi="Times New Roman"/>
                <w:b/>
                <w:spacing w:val="-11"/>
                <w:w w:val="75"/>
                <w:sz w:val="22"/>
              </w:rPr>
              <w:t> </w:t>
            </w:r>
            <w:r>
              <w:rPr>
                <w:rFonts w:ascii="Times New Roman" w:hAnsi="Times New Roman"/>
                <w:b/>
                <w:w w:val="75"/>
                <w:sz w:val="22"/>
              </w:rPr>
              <w:t>ACADÉMICO</w:t>
            </w:r>
            <w:r>
              <w:rPr>
                <w:rFonts w:ascii="Times New Roman" w:hAnsi="Times New Roman"/>
                <w:b/>
                <w:spacing w:val="-10"/>
                <w:w w:val="75"/>
                <w:sz w:val="22"/>
              </w:rPr>
              <w:t> </w:t>
            </w:r>
            <w:r>
              <w:rPr>
                <w:rFonts w:ascii="Times New Roman" w:hAnsi="Times New Roman"/>
                <w:b/>
                <w:w w:val="75"/>
                <w:sz w:val="22"/>
              </w:rPr>
              <w:t>COMUNITARIO</w:t>
            </w:r>
          </w:p>
        </w:tc>
        <w:tc>
          <w:tcPr>
            <w:tcW w:w="1392" w:type="dxa"/>
          </w:tcPr>
          <w:p>
            <w:pPr>
              <w:pStyle w:val="TableParagraph"/>
              <w:spacing w:before="3"/>
              <w:ind w:left="103"/>
              <w:rPr>
                <w:rFonts w:ascii="Times New Roman"/>
                <w:b/>
                <w:sz w:val="22"/>
              </w:rPr>
            </w:pPr>
            <w:r>
              <w:rPr>
                <w:rFonts w:ascii="Times New Roman"/>
                <w:b/>
                <w:w w:val="75"/>
                <w:sz w:val="22"/>
              </w:rPr>
              <w:t>265500</w:t>
            </w:r>
          </w:p>
        </w:tc>
      </w:tr>
      <w:tr>
        <w:trPr>
          <w:trHeight w:val="304" w:hRule="atLeast"/>
        </w:trPr>
        <w:tc>
          <w:tcPr>
            <w:tcW w:w="1541" w:type="dxa"/>
            <w:vMerge/>
            <w:tcBorders>
              <w:top w:val="nil"/>
            </w:tcBorders>
            <w:shd w:val="clear" w:color="auto" w:fill="6FAC46"/>
            <w:textDirection w:val="tbRl"/>
          </w:tcPr>
          <w:p>
            <w:pPr>
              <w:rPr>
                <w:sz w:val="2"/>
                <w:szCs w:val="2"/>
              </w:rPr>
            </w:pPr>
          </w:p>
        </w:tc>
        <w:tc>
          <w:tcPr>
            <w:tcW w:w="11209" w:type="dxa"/>
          </w:tcPr>
          <w:p>
            <w:pPr>
              <w:pStyle w:val="TableParagraph"/>
              <w:tabs>
                <w:tab w:pos="429" w:val="left" w:leader="none"/>
              </w:tabs>
              <w:spacing w:before="3"/>
              <w:ind w:left="69"/>
              <w:rPr>
                <w:rFonts w:ascii="Times New Roman" w:hAnsi="Times New Roman"/>
                <w:b/>
                <w:sz w:val="22"/>
              </w:rPr>
            </w:pPr>
            <w:r>
              <w:rPr>
                <w:rFonts w:ascii="Times New Roman" w:hAnsi="Times New Roman"/>
                <w:b/>
                <w:w w:val="75"/>
                <w:sz w:val="22"/>
              </w:rPr>
              <w:t>2.</w:t>
              <w:tab/>
              <w:t>DESARROLLO ACADÉMICO PREGRADO Y</w:t>
            </w:r>
            <w:r>
              <w:rPr>
                <w:rFonts w:ascii="Times New Roman" w:hAnsi="Times New Roman"/>
                <w:b/>
                <w:spacing w:val="1"/>
                <w:w w:val="75"/>
                <w:sz w:val="22"/>
              </w:rPr>
              <w:t> </w:t>
            </w:r>
            <w:r>
              <w:rPr>
                <w:rFonts w:ascii="Times New Roman" w:hAnsi="Times New Roman"/>
                <w:b/>
                <w:w w:val="75"/>
                <w:sz w:val="22"/>
              </w:rPr>
              <w:t>POSTGRADO</w:t>
            </w:r>
          </w:p>
        </w:tc>
        <w:tc>
          <w:tcPr>
            <w:tcW w:w="1392" w:type="dxa"/>
          </w:tcPr>
          <w:p>
            <w:pPr>
              <w:pStyle w:val="TableParagraph"/>
              <w:spacing w:before="3"/>
              <w:ind w:left="103"/>
              <w:rPr>
                <w:rFonts w:ascii="Times New Roman"/>
                <w:b/>
                <w:sz w:val="22"/>
              </w:rPr>
            </w:pPr>
            <w:r>
              <w:rPr>
                <w:rFonts w:ascii="Times New Roman"/>
                <w:b/>
                <w:w w:val="75"/>
                <w:sz w:val="22"/>
              </w:rPr>
              <w:t>36616000</w:t>
            </w:r>
          </w:p>
        </w:tc>
      </w:tr>
      <w:tr>
        <w:trPr>
          <w:trHeight w:val="304" w:hRule="atLeast"/>
        </w:trPr>
        <w:tc>
          <w:tcPr>
            <w:tcW w:w="1541" w:type="dxa"/>
            <w:vMerge/>
            <w:tcBorders>
              <w:top w:val="nil"/>
            </w:tcBorders>
            <w:shd w:val="clear" w:color="auto" w:fill="6FAC46"/>
            <w:textDirection w:val="tbRl"/>
          </w:tcPr>
          <w:p>
            <w:pPr>
              <w:rPr>
                <w:sz w:val="2"/>
                <w:szCs w:val="2"/>
              </w:rPr>
            </w:pPr>
          </w:p>
        </w:tc>
        <w:tc>
          <w:tcPr>
            <w:tcW w:w="11209" w:type="dxa"/>
          </w:tcPr>
          <w:p>
            <w:pPr>
              <w:pStyle w:val="TableParagraph"/>
              <w:tabs>
                <w:tab w:pos="465" w:val="left" w:leader="none"/>
              </w:tabs>
              <w:spacing w:before="3"/>
              <w:ind w:left="69"/>
              <w:rPr>
                <w:rFonts w:ascii="Times New Roman"/>
                <w:b/>
                <w:sz w:val="22"/>
              </w:rPr>
            </w:pPr>
            <w:r>
              <w:rPr>
                <w:rFonts w:ascii="Times New Roman"/>
                <w:b/>
                <w:w w:val="75"/>
                <w:sz w:val="22"/>
              </w:rPr>
              <w:t>3.</w:t>
              <w:tab/>
              <w:t>INVESTIGACION APLICADA</w:t>
            </w:r>
            <w:r>
              <w:rPr>
                <w:rFonts w:ascii="Times New Roman"/>
                <w:b/>
                <w:spacing w:val="-15"/>
                <w:w w:val="75"/>
                <w:sz w:val="22"/>
              </w:rPr>
              <w:t> </w:t>
            </w:r>
            <w:r>
              <w:rPr>
                <w:rFonts w:ascii="Times New Roman"/>
                <w:b/>
                <w:w w:val="75"/>
                <w:sz w:val="22"/>
              </w:rPr>
              <w:t>COMUNITARIA</w:t>
            </w:r>
          </w:p>
        </w:tc>
        <w:tc>
          <w:tcPr>
            <w:tcW w:w="1392" w:type="dxa"/>
          </w:tcPr>
          <w:p>
            <w:pPr>
              <w:pStyle w:val="TableParagraph"/>
              <w:spacing w:before="3"/>
              <w:ind w:left="103"/>
              <w:rPr>
                <w:rFonts w:ascii="Times New Roman"/>
                <w:b/>
                <w:sz w:val="22"/>
              </w:rPr>
            </w:pPr>
            <w:r>
              <w:rPr>
                <w:rFonts w:ascii="Times New Roman"/>
                <w:b/>
                <w:w w:val="75"/>
                <w:sz w:val="22"/>
              </w:rPr>
              <w:t>375000</w:t>
            </w:r>
          </w:p>
        </w:tc>
      </w:tr>
      <w:tr>
        <w:trPr>
          <w:trHeight w:val="326" w:hRule="atLeast"/>
        </w:trPr>
        <w:tc>
          <w:tcPr>
            <w:tcW w:w="1541" w:type="dxa"/>
            <w:vMerge/>
            <w:tcBorders>
              <w:top w:val="nil"/>
            </w:tcBorders>
            <w:shd w:val="clear" w:color="auto" w:fill="6FAC46"/>
            <w:textDirection w:val="tbRl"/>
          </w:tcPr>
          <w:p>
            <w:pPr>
              <w:rPr>
                <w:sz w:val="2"/>
                <w:szCs w:val="2"/>
              </w:rPr>
            </w:pPr>
          </w:p>
        </w:tc>
        <w:tc>
          <w:tcPr>
            <w:tcW w:w="11209" w:type="dxa"/>
          </w:tcPr>
          <w:p>
            <w:pPr>
              <w:pStyle w:val="TableParagraph"/>
              <w:tabs>
                <w:tab w:pos="429" w:val="left" w:leader="none"/>
              </w:tabs>
              <w:spacing w:before="3"/>
              <w:ind w:left="69"/>
              <w:rPr>
                <w:rFonts w:ascii="Times New Roman"/>
                <w:b/>
                <w:sz w:val="22"/>
              </w:rPr>
            </w:pPr>
            <w:r>
              <w:rPr>
                <w:rFonts w:ascii="Times New Roman"/>
                <w:b/>
                <w:w w:val="75"/>
                <w:sz w:val="22"/>
              </w:rPr>
              <w:t>4.</w:t>
              <w:tab/>
              <w:t>COMPLEJO MULTIMODAL DEL SABER PRODUCTIVO</w:t>
            </w:r>
            <w:r>
              <w:rPr>
                <w:rFonts w:ascii="Times New Roman"/>
                <w:b/>
                <w:spacing w:val="-17"/>
                <w:w w:val="75"/>
                <w:sz w:val="22"/>
              </w:rPr>
              <w:t> </w:t>
            </w:r>
            <w:r>
              <w:rPr>
                <w:rFonts w:ascii="Times New Roman"/>
                <w:b/>
                <w:w w:val="75"/>
                <w:sz w:val="22"/>
              </w:rPr>
              <w:t>INTERCULTURAL</w:t>
            </w:r>
          </w:p>
        </w:tc>
        <w:tc>
          <w:tcPr>
            <w:tcW w:w="1392" w:type="dxa"/>
          </w:tcPr>
          <w:p>
            <w:pPr>
              <w:pStyle w:val="TableParagraph"/>
              <w:spacing w:before="3"/>
              <w:ind w:left="103"/>
              <w:rPr>
                <w:rFonts w:ascii="Times New Roman"/>
                <w:b/>
                <w:sz w:val="22"/>
              </w:rPr>
            </w:pPr>
            <w:r>
              <w:rPr>
                <w:rFonts w:ascii="Times New Roman"/>
                <w:b/>
                <w:w w:val="75"/>
                <w:sz w:val="22"/>
              </w:rPr>
              <w:t>10700000</w:t>
            </w:r>
          </w:p>
        </w:tc>
      </w:tr>
      <w:tr>
        <w:trPr>
          <w:trHeight w:val="304" w:hRule="atLeast"/>
        </w:trPr>
        <w:tc>
          <w:tcPr>
            <w:tcW w:w="1541" w:type="dxa"/>
            <w:vMerge w:val="restart"/>
            <w:shd w:val="clear" w:color="auto" w:fill="FFFF00"/>
            <w:textDirection w:val="tbRl"/>
          </w:tcPr>
          <w:p>
            <w:pPr>
              <w:pStyle w:val="TableParagraph"/>
              <w:rPr>
                <w:b/>
                <w:sz w:val="24"/>
              </w:rPr>
            </w:pPr>
          </w:p>
          <w:p>
            <w:pPr>
              <w:pStyle w:val="TableParagraph"/>
              <w:spacing w:before="12"/>
              <w:rPr>
                <w:b/>
                <w:sz w:val="25"/>
              </w:rPr>
            </w:pPr>
          </w:p>
          <w:p>
            <w:pPr>
              <w:pStyle w:val="TableParagraph"/>
              <w:ind w:left="499" w:right="498"/>
              <w:jc w:val="center"/>
              <w:rPr>
                <w:rFonts w:ascii="Times New Roman"/>
                <w:b/>
                <w:sz w:val="22"/>
              </w:rPr>
            </w:pPr>
            <w:r>
              <w:rPr>
                <w:rFonts w:ascii="Times New Roman"/>
                <w:b/>
                <w:w w:val="75"/>
                <w:sz w:val="22"/>
              </w:rPr>
              <w:t>ATIY</w:t>
            </w:r>
          </w:p>
        </w:tc>
        <w:tc>
          <w:tcPr>
            <w:tcW w:w="11209" w:type="dxa"/>
            <w:shd w:val="clear" w:color="auto" w:fill="FFFF00"/>
          </w:tcPr>
          <w:p>
            <w:pPr>
              <w:pStyle w:val="TableParagraph"/>
              <w:rPr>
                <w:rFonts w:ascii="Times New Roman"/>
                <w:sz w:val="22"/>
              </w:rPr>
            </w:pPr>
          </w:p>
        </w:tc>
        <w:tc>
          <w:tcPr>
            <w:tcW w:w="1392" w:type="dxa"/>
            <w:shd w:val="clear" w:color="auto" w:fill="FFFF00"/>
          </w:tcPr>
          <w:p>
            <w:pPr>
              <w:pStyle w:val="TableParagraph"/>
              <w:spacing w:before="3"/>
              <w:ind w:left="67"/>
              <w:rPr>
                <w:rFonts w:ascii="Times New Roman"/>
                <w:b/>
                <w:sz w:val="22"/>
              </w:rPr>
            </w:pPr>
            <w:r>
              <w:rPr>
                <w:rFonts w:ascii="Times New Roman"/>
                <w:b/>
                <w:w w:val="75"/>
                <w:sz w:val="22"/>
              </w:rPr>
              <w:t>SUBTOTAL</w:t>
            </w:r>
          </w:p>
        </w:tc>
      </w:tr>
      <w:tr>
        <w:trPr>
          <w:trHeight w:val="489" w:hRule="atLeast"/>
        </w:trPr>
        <w:tc>
          <w:tcPr>
            <w:tcW w:w="1541" w:type="dxa"/>
            <w:vMerge/>
            <w:tcBorders>
              <w:top w:val="nil"/>
            </w:tcBorders>
            <w:shd w:val="clear" w:color="auto" w:fill="FFFF00"/>
            <w:textDirection w:val="tbRl"/>
          </w:tcPr>
          <w:p>
            <w:pPr>
              <w:rPr>
                <w:sz w:val="2"/>
                <w:szCs w:val="2"/>
              </w:rPr>
            </w:pPr>
          </w:p>
        </w:tc>
        <w:tc>
          <w:tcPr>
            <w:tcW w:w="11209" w:type="dxa"/>
            <w:shd w:val="clear" w:color="auto" w:fill="FFF1CC"/>
          </w:tcPr>
          <w:p>
            <w:pPr>
              <w:pStyle w:val="TableParagraph"/>
              <w:tabs>
                <w:tab w:pos="429" w:val="left" w:leader="none"/>
              </w:tabs>
              <w:spacing w:before="3"/>
              <w:ind w:left="69"/>
              <w:rPr>
                <w:rFonts w:ascii="Times New Roman"/>
                <w:b/>
                <w:sz w:val="22"/>
              </w:rPr>
            </w:pPr>
            <w:r>
              <w:rPr>
                <w:rFonts w:ascii="Times New Roman"/>
                <w:b/>
                <w:w w:val="75"/>
                <w:sz w:val="22"/>
              </w:rPr>
              <w:t>5.</w:t>
              <w:tab/>
              <w:t>ESTABLECIMIENTO</w:t>
            </w:r>
            <w:r>
              <w:rPr>
                <w:rFonts w:ascii="Times New Roman"/>
                <w:b/>
                <w:spacing w:val="-11"/>
                <w:w w:val="75"/>
                <w:sz w:val="22"/>
              </w:rPr>
              <w:t> </w:t>
            </w:r>
            <w:r>
              <w:rPr>
                <w:rFonts w:ascii="Times New Roman"/>
                <w:b/>
                <w:w w:val="75"/>
                <w:sz w:val="22"/>
              </w:rPr>
              <w:t>DEL</w:t>
            </w:r>
            <w:r>
              <w:rPr>
                <w:rFonts w:ascii="Times New Roman"/>
                <w:b/>
                <w:spacing w:val="-9"/>
                <w:w w:val="75"/>
                <w:sz w:val="22"/>
              </w:rPr>
              <w:t> </w:t>
            </w:r>
            <w:r>
              <w:rPr>
                <w:rFonts w:ascii="Times New Roman"/>
                <w:b/>
                <w:w w:val="75"/>
                <w:sz w:val="22"/>
              </w:rPr>
              <w:t>PLAN</w:t>
            </w:r>
            <w:r>
              <w:rPr>
                <w:rFonts w:ascii="Times New Roman"/>
                <w:b/>
                <w:spacing w:val="-10"/>
                <w:w w:val="75"/>
                <w:sz w:val="22"/>
              </w:rPr>
              <w:t> </w:t>
            </w:r>
            <w:r>
              <w:rPr>
                <w:rFonts w:ascii="Times New Roman"/>
                <w:b/>
                <w:w w:val="75"/>
                <w:sz w:val="22"/>
              </w:rPr>
              <w:t>DE</w:t>
            </w:r>
            <w:r>
              <w:rPr>
                <w:rFonts w:ascii="Times New Roman"/>
                <w:b/>
                <w:spacing w:val="-10"/>
                <w:w w:val="75"/>
                <w:sz w:val="22"/>
              </w:rPr>
              <w:t> </w:t>
            </w:r>
            <w:r>
              <w:rPr>
                <w:rFonts w:ascii="Times New Roman"/>
                <w:b/>
                <w:w w:val="75"/>
                <w:sz w:val="22"/>
              </w:rPr>
              <w:t>VIDA</w:t>
            </w:r>
            <w:r>
              <w:rPr>
                <w:rFonts w:ascii="Times New Roman"/>
                <w:b/>
                <w:spacing w:val="-12"/>
                <w:w w:val="75"/>
                <w:sz w:val="22"/>
              </w:rPr>
              <w:t> </w:t>
            </w:r>
            <w:r>
              <w:rPr>
                <w:rFonts w:ascii="Times New Roman"/>
                <w:b/>
                <w:w w:val="75"/>
                <w:sz w:val="22"/>
              </w:rPr>
              <w:t>ESTRATEGICO</w:t>
            </w:r>
            <w:r>
              <w:rPr>
                <w:rFonts w:ascii="Times New Roman"/>
                <w:b/>
                <w:spacing w:val="-10"/>
                <w:w w:val="75"/>
                <w:sz w:val="22"/>
              </w:rPr>
              <w:t> </w:t>
            </w:r>
            <w:r>
              <w:rPr>
                <w:rFonts w:ascii="Times New Roman"/>
                <w:b/>
                <w:w w:val="75"/>
                <w:sz w:val="22"/>
              </w:rPr>
              <w:t>UNIBOL</w:t>
            </w:r>
            <w:r>
              <w:rPr>
                <w:rFonts w:ascii="Times New Roman"/>
                <w:b/>
                <w:spacing w:val="-9"/>
                <w:w w:val="75"/>
                <w:sz w:val="22"/>
              </w:rPr>
              <w:t> </w:t>
            </w:r>
            <w:r>
              <w:rPr>
                <w:rFonts w:ascii="Times New Roman"/>
                <w:b/>
                <w:w w:val="75"/>
                <w:sz w:val="22"/>
              </w:rPr>
              <w:t>QUECHUA</w:t>
            </w:r>
          </w:p>
        </w:tc>
        <w:tc>
          <w:tcPr>
            <w:tcW w:w="1392" w:type="dxa"/>
          </w:tcPr>
          <w:p>
            <w:pPr>
              <w:pStyle w:val="TableParagraph"/>
              <w:spacing w:before="3"/>
              <w:ind w:left="103"/>
              <w:rPr>
                <w:rFonts w:ascii="Times New Roman"/>
                <w:b/>
                <w:sz w:val="22"/>
              </w:rPr>
            </w:pPr>
            <w:r>
              <w:rPr>
                <w:rFonts w:ascii="Times New Roman"/>
                <w:b/>
                <w:w w:val="75"/>
                <w:sz w:val="22"/>
              </w:rPr>
              <w:t>1800000</w:t>
            </w:r>
          </w:p>
        </w:tc>
      </w:tr>
      <w:tr>
        <w:trPr>
          <w:trHeight w:val="304" w:hRule="atLeast"/>
        </w:trPr>
        <w:tc>
          <w:tcPr>
            <w:tcW w:w="1541" w:type="dxa"/>
            <w:vMerge/>
            <w:tcBorders>
              <w:top w:val="nil"/>
            </w:tcBorders>
            <w:shd w:val="clear" w:color="auto" w:fill="FFFF00"/>
            <w:textDirection w:val="tbRl"/>
          </w:tcPr>
          <w:p>
            <w:pPr>
              <w:rPr>
                <w:sz w:val="2"/>
                <w:szCs w:val="2"/>
              </w:rPr>
            </w:pPr>
          </w:p>
        </w:tc>
        <w:tc>
          <w:tcPr>
            <w:tcW w:w="11209" w:type="dxa"/>
            <w:shd w:val="clear" w:color="auto" w:fill="FFF1CC"/>
          </w:tcPr>
          <w:p>
            <w:pPr>
              <w:pStyle w:val="TableParagraph"/>
              <w:tabs>
                <w:tab w:pos="429" w:val="left" w:leader="none"/>
              </w:tabs>
              <w:spacing w:before="3"/>
              <w:ind w:left="69"/>
              <w:rPr>
                <w:rFonts w:ascii="Times New Roman"/>
                <w:b/>
                <w:sz w:val="22"/>
              </w:rPr>
            </w:pPr>
            <w:r>
              <w:rPr>
                <w:rFonts w:ascii="Times New Roman"/>
                <w:b/>
                <w:w w:val="75"/>
                <w:sz w:val="22"/>
              </w:rPr>
              <w:t>6.</w:t>
              <w:tab/>
              <w:t>GESTION DIRECTIVA -</w:t>
            </w:r>
            <w:r>
              <w:rPr>
                <w:rFonts w:ascii="Times New Roman"/>
                <w:b/>
                <w:spacing w:val="15"/>
                <w:w w:val="75"/>
                <w:sz w:val="22"/>
              </w:rPr>
              <w:t> </w:t>
            </w:r>
            <w:r>
              <w:rPr>
                <w:rFonts w:ascii="Times New Roman"/>
                <w:b/>
                <w:w w:val="75"/>
                <w:sz w:val="22"/>
              </w:rPr>
              <w:t>EJECUTIVA</w:t>
            </w:r>
          </w:p>
        </w:tc>
        <w:tc>
          <w:tcPr>
            <w:tcW w:w="1392" w:type="dxa"/>
          </w:tcPr>
          <w:p>
            <w:pPr>
              <w:pStyle w:val="TableParagraph"/>
              <w:spacing w:before="3"/>
              <w:ind w:left="103"/>
              <w:rPr>
                <w:rFonts w:ascii="Times New Roman"/>
                <w:b/>
                <w:sz w:val="22"/>
              </w:rPr>
            </w:pPr>
            <w:r>
              <w:rPr>
                <w:rFonts w:ascii="Times New Roman"/>
                <w:b/>
                <w:w w:val="75"/>
                <w:sz w:val="22"/>
              </w:rPr>
              <w:t>372000</w:t>
            </w:r>
          </w:p>
        </w:tc>
      </w:tr>
      <w:tr>
        <w:trPr>
          <w:trHeight w:val="323" w:hRule="atLeast"/>
        </w:trPr>
        <w:tc>
          <w:tcPr>
            <w:tcW w:w="1541" w:type="dxa"/>
            <w:vMerge/>
            <w:tcBorders>
              <w:top w:val="nil"/>
            </w:tcBorders>
            <w:shd w:val="clear" w:color="auto" w:fill="FFFF00"/>
            <w:textDirection w:val="tbRl"/>
          </w:tcPr>
          <w:p>
            <w:pPr>
              <w:rPr>
                <w:sz w:val="2"/>
                <w:szCs w:val="2"/>
              </w:rPr>
            </w:pPr>
          </w:p>
        </w:tc>
        <w:tc>
          <w:tcPr>
            <w:tcW w:w="11209" w:type="dxa"/>
            <w:shd w:val="clear" w:color="auto" w:fill="FFF1CC"/>
          </w:tcPr>
          <w:p>
            <w:pPr>
              <w:pStyle w:val="TableParagraph"/>
              <w:tabs>
                <w:tab w:pos="465" w:val="left" w:leader="none"/>
              </w:tabs>
              <w:spacing w:before="3"/>
              <w:ind w:left="69"/>
              <w:rPr>
                <w:rFonts w:ascii="Times New Roman"/>
                <w:b/>
                <w:sz w:val="22"/>
              </w:rPr>
            </w:pPr>
            <w:r>
              <w:rPr>
                <w:rFonts w:ascii="Times New Roman"/>
                <w:b/>
                <w:w w:val="75"/>
                <w:sz w:val="22"/>
              </w:rPr>
              <w:t>7.</w:t>
              <w:tab/>
              <w:t>SISTEMA DE ADMINISTRACION</w:t>
            </w:r>
            <w:r>
              <w:rPr>
                <w:rFonts w:ascii="Times New Roman"/>
                <w:b/>
                <w:spacing w:val="-28"/>
                <w:w w:val="75"/>
                <w:sz w:val="22"/>
              </w:rPr>
              <w:t> </w:t>
            </w:r>
            <w:r>
              <w:rPr>
                <w:rFonts w:ascii="Times New Roman"/>
                <w:b/>
                <w:w w:val="75"/>
                <w:sz w:val="22"/>
              </w:rPr>
              <w:t>TRANSPARENTE</w:t>
            </w:r>
          </w:p>
        </w:tc>
        <w:tc>
          <w:tcPr>
            <w:tcW w:w="1392" w:type="dxa"/>
          </w:tcPr>
          <w:p>
            <w:pPr>
              <w:pStyle w:val="TableParagraph"/>
              <w:spacing w:before="3"/>
              <w:ind w:left="103"/>
              <w:rPr>
                <w:rFonts w:ascii="Times New Roman"/>
                <w:b/>
                <w:sz w:val="22"/>
              </w:rPr>
            </w:pPr>
            <w:r>
              <w:rPr>
                <w:rFonts w:ascii="Times New Roman"/>
                <w:b/>
                <w:w w:val="75"/>
                <w:sz w:val="22"/>
              </w:rPr>
              <w:t>75342000</w:t>
            </w:r>
          </w:p>
        </w:tc>
      </w:tr>
      <w:tr>
        <w:trPr>
          <w:trHeight w:val="383" w:hRule="atLeast"/>
        </w:trPr>
        <w:tc>
          <w:tcPr>
            <w:tcW w:w="1541" w:type="dxa"/>
          </w:tcPr>
          <w:p>
            <w:pPr>
              <w:pStyle w:val="TableParagraph"/>
              <w:rPr>
                <w:rFonts w:ascii="Times New Roman"/>
                <w:sz w:val="22"/>
              </w:rPr>
            </w:pPr>
          </w:p>
        </w:tc>
        <w:tc>
          <w:tcPr>
            <w:tcW w:w="11209" w:type="dxa"/>
            <w:shd w:val="clear" w:color="auto" w:fill="FFF1CC"/>
          </w:tcPr>
          <w:p>
            <w:pPr>
              <w:pStyle w:val="TableParagraph"/>
              <w:tabs>
                <w:tab w:pos="429" w:val="left" w:leader="none"/>
              </w:tabs>
              <w:spacing w:before="3"/>
              <w:ind w:left="69"/>
              <w:rPr>
                <w:rFonts w:ascii="Times New Roman"/>
                <w:b/>
                <w:sz w:val="22"/>
              </w:rPr>
            </w:pPr>
            <w:r>
              <w:rPr>
                <w:rFonts w:ascii="Times New Roman"/>
                <w:b/>
                <w:w w:val="75"/>
                <w:sz w:val="22"/>
              </w:rPr>
              <w:t>8.</w:t>
              <w:tab/>
              <w:t>SISTEMA INFORMATICO</w:t>
            </w:r>
            <w:r>
              <w:rPr>
                <w:rFonts w:ascii="Times New Roman"/>
                <w:b/>
                <w:spacing w:val="-14"/>
                <w:w w:val="75"/>
                <w:sz w:val="22"/>
              </w:rPr>
              <w:t> </w:t>
            </w:r>
            <w:r>
              <w:rPr>
                <w:rFonts w:ascii="Times New Roman"/>
                <w:b/>
                <w:w w:val="75"/>
                <w:sz w:val="22"/>
              </w:rPr>
              <w:t>ACADEMICO</w:t>
            </w:r>
          </w:p>
        </w:tc>
        <w:tc>
          <w:tcPr>
            <w:tcW w:w="1392" w:type="dxa"/>
          </w:tcPr>
          <w:p>
            <w:pPr>
              <w:pStyle w:val="TableParagraph"/>
              <w:spacing w:before="3"/>
              <w:ind w:left="67"/>
              <w:rPr>
                <w:rFonts w:ascii="Times New Roman"/>
                <w:b/>
                <w:sz w:val="22"/>
              </w:rPr>
            </w:pPr>
            <w:r>
              <w:rPr>
                <w:rFonts w:ascii="Times New Roman"/>
                <w:b/>
                <w:w w:val="75"/>
                <w:sz w:val="22"/>
              </w:rPr>
              <w:t>270000</w:t>
            </w:r>
          </w:p>
        </w:tc>
      </w:tr>
      <w:tr>
        <w:trPr>
          <w:trHeight w:val="304" w:hRule="atLeast"/>
        </w:trPr>
        <w:tc>
          <w:tcPr>
            <w:tcW w:w="1541" w:type="dxa"/>
            <w:vMerge w:val="restart"/>
            <w:shd w:val="clear" w:color="auto" w:fill="FF0000"/>
            <w:textDirection w:val="tbRl"/>
          </w:tcPr>
          <w:p>
            <w:pPr>
              <w:pStyle w:val="TableParagraph"/>
              <w:rPr>
                <w:b/>
                <w:sz w:val="24"/>
              </w:rPr>
            </w:pPr>
          </w:p>
          <w:p>
            <w:pPr>
              <w:pStyle w:val="TableParagraph"/>
              <w:spacing w:before="12"/>
              <w:rPr>
                <w:b/>
                <w:sz w:val="25"/>
              </w:rPr>
            </w:pPr>
          </w:p>
          <w:p>
            <w:pPr>
              <w:pStyle w:val="TableParagraph"/>
              <w:ind w:left="467"/>
              <w:rPr>
                <w:rFonts w:ascii="Times New Roman"/>
                <w:b/>
                <w:sz w:val="22"/>
              </w:rPr>
            </w:pPr>
            <w:r>
              <w:rPr>
                <w:rFonts w:ascii="Times New Roman"/>
                <w:b/>
                <w:w w:val="75"/>
                <w:sz w:val="22"/>
              </w:rPr>
              <w:t>RUWAY</w:t>
            </w:r>
          </w:p>
        </w:tc>
        <w:tc>
          <w:tcPr>
            <w:tcW w:w="11209" w:type="dxa"/>
            <w:shd w:val="clear" w:color="auto" w:fill="FF0000"/>
          </w:tcPr>
          <w:p>
            <w:pPr>
              <w:pStyle w:val="TableParagraph"/>
              <w:rPr>
                <w:rFonts w:ascii="Times New Roman"/>
                <w:sz w:val="22"/>
              </w:rPr>
            </w:pPr>
          </w:p>
        </w:tc>
        <w:tc>
          <w:tcPr>
            <w:tcW w:w="1392" w:type="dxa"/>
            <w:shd w:val="clear" w:color="auto" w:fill="FF0000"/>
          </w:tcPr>
          <w:p>
            <w:pPr>
              <w:pStyle w:val="TableParagraph"/>
              <w:spacing w:before="3"/>
              <w:ind w:left="67"/>
              <w:rPr>
                <w:rFonts w:ascii="Times New Roman"/>
                <w:b/>
                <w:sz w:val="22"/>
              </w:rPr>
            </w:pPr>
            <w:r>
              <w:rPr>
                <w:rFonts w:ascii="Times New Roman"/>
                <w:b/>
                <w:w w:val="75"/>
                <w:sz w:val="22"/>
              </w:rPr>
              <w:t>SUBTOTAL</w:t>
            </w:r>
          </w:p>
        </w:tc>
      </w:tr>
      <w:tr>
        <w:trPr>
          <w:trHeight w:val="366" w:hRule="atLeast"/>
        </w:trPr>
        <w:tc>
          <w:tcPr>
            <w:tcW w:w="1541" w:type="dxa"/>
            <w:vMerge/>
            <w:tcBorders>
              <w:top w:val="nil"/>
            </w:tcBorders>
            <w:shd w:val="clear" w:color="auto" w:fill="FF0000"/>
            <w:textDirection w:val="tbRl"/>
          </w:tcPr>
          <w:p>
            <w:pPr>
              <w:rPr>
                <w:sz w:val="2"/>
                <w:szCs w:val="2"/>
              </w:rPr>
            </w:pPr>
          </w:p>
        </w:tc>
        <w:tc>
          <w:tcPr>
            <w:tcW w:w="11209" w:type="dxa"/>
            <w:tcBorders>
              <w:bottom w:val="single" w:sz="6" w:space="0" w:color="000000"/>
            </w:tcBorders>
            <w:shd w:val="clear" w:color="auto" w:fill="FBE3D5"/>
          </w:tcPr>
          <w:p>
            <w:pPr>
              <w:pStyle w:val="TableParagraph"/>
              <w:tabs>
                <w:tab w:pos="429" w:val="left" w:leader="none"/>
              </w:tabs>
              <w:spacing w:before="3"/>
              <w:ind w:left="69"/>
              <w:rPr>
                <w:rFonts w:ascii="Times New Roman"/>
                <w:b/>
                <w:sz w:val="22"/>
              </w:rPr>
            </w:pPr>
            <w:r>
              <w:rPr>
                <w:rFonts w:ascii="Times New Roman"/>
                <w:b/>
                <w:w w:val="75"/>
                <w:sz w:val="22"/>
              </w:rPr>
              <w:t>9.</w:t>
              <w:tab/>
              <w:t>PASANTIAS EN</w:t>
            </w:r>
            <w:r>
              <w:rPr>
                <w:rFonts w:ascii="Times New Roman"/>
                <w:b/>
                <w:spacing w:val="-15"/>
                <w:w w:val="75"/>
                <w:sz w:val="22"/>
              </w:rPr>
              <w:t> </w:t>
            </w:r>
            <w:r>
              <w:rPr>
                <w:rFonts w:ascii="Times New Roman"/>
                <w:b/>
                <w:w w:val="75"/>
                <w:sz w:val="22"/>
              </w:rPr>
              <w:t>OECOM/OECAS</w:t>
            </w:r>
          </w:p>
        </w:tc>
        <w:tc>
          <w:tcPr>
            <w:tcW w:w="1392" w:type="dxa"/>
            <w:tcBorders>
              <w:bottom w:val="single" w:sz="6" w:space="0" w:color="000000"/>
            </w:tcBorders>
          </w:tcPr>
          <w:p>
            <w:pPr>
              <w:pStyle w:val="TableParagraph"/>
              <w:spacing w:before="3"/>
              <w:ind w:left="103"/>
              <w:rPr>
                <w:rFonts w:ascii="Times New Roman"/>
                <w:b/>
                <w:sz w:val="22"/>
              </w:rPr>
            </w:pPr>
            <w:r>
              <w:rPr>
                <w:rFonts w:ascii="Times New Roman"/>
                <w:b/>
                <w:w w:val="75"/>
                <w:sz w:val="22"/>
              </w:rPr>
              <w:t>157000</w:t>
            </w:r>
          </w:p>
        </w:tc>
      </w:tr>
      <w:tr>
        <w:trPr>
          <w:trHeight w:val="304" w:hRule="atLeast"/>
        </w:trPr>
        <w:tc>
          <w:tcPr>
            <w:tcW w:w="1541" w:type="dxa"/>
            <w:vMerge/>
            <w:tcBorders>
              <w:top w:val="nil"/>
            </w:tcBorders>
            <w:shd w:val="clear" w:color="auto" w:fill="FF0000"/>
            <w:textDirection w:val="tbRl"/>
          </w:tcPr>
          <w:p>
            <w:pPr>
              <w:rPr>
                <w:sz w:val="2"/>
                <w:szCs w:val="2"/>
              </w:rPr>
            </w:pPr>
          </w:p>
        </w:tc>
        <w:tc>
          <w:tcPr>
            <w:tcW w:w="11209" w:type="dxa"/>
            <w:tcBorders>
              <w:top w:val="single" w:sz="6" w:space="0" w:color="000000"/>
            </w:tcBorders>
            <w:shd w:val="clear" w:color="auto" w:fill="FBE3D5"/>
          </w:tcPr>
          <w:p>
            <w:pPr>
              <w:pStyle w:val="TableParagraph"/>
              <w:spacing w:before="3"/>
              <w:ind w:left="69"/>
              <w:rPr>
                <w:rFonts w:ascii="Times New Roman"/>
                <w:b/>
                <w:sz w:val="22"/>
              </w:rPr>
            </w:pPr>
            <w:r>
              <w:rPr>
                <w:rFonts w:ascii="Times New Roman"/>
                <w:b/>
                <w:w w:val="75"/>
                <w:sz w:val="22"/>
              </w:rPr>
              <w:t>10. APOYO TECNOLOGICO A COMPLEJOS PRODUCTIVOS COMUNITARIOS</w:t>
            </w:r>
          </w:p>
        </w:tc>
        <w:tc>
          <w:tcPr>
            <w:tcW w:w="1392" w:type="dxa"/>
            <w:tcBorders>
              <w:top w:val="single" w:sz="6" w:space="0" w:color="000000"/>
            </w:tcBorders>
          </w:tcPr>
          <w:p>
            <w:pPr>
              <w:pStyle w:val="TableParagraph"/>
              <w:spacing w:before="3"/>
              <w:ind w:left="103"/>
              <w:rPr>
                <w:rFonts w:ascii="Times New Roman"/>
                <w:b/>
                <w:sz w:val="22"/>
              </w:rPr>
            </w:pPr>
            <w:r>
              <w:rPr>
                <w:rFonts w:ascii="Times New Roman"/>
                <w:b/>
                <w:w w:val="75"/>
                <w:sz w:val="22"/>
              </w:rPr>
              <w:t>315000</w:t>
            </w:r>
          </w:p>
        </w:tc>
      </w:tr>
      <w:tr>
        <w:trPr>
          <w:trHeight w:val="486" w:hRule="atLeast"/>
        </w:trPr>
        <w:tc>
          <w:tcPr>
            <w:tcW w:w="1541" w:type="dxa"/>
            <w:vMerge/>
            <w:tcBorders>
              <w:top w:val="nil"/>
            </w:tcBorders>
            <w:shd w:val="clear" w:color="auto" w:fill="FF0000"/>
            <w:textDirection w:val="tbRl"/>
          </w:tcPr>
          <w:p>
            <w:pPr>
              <w:rPr>
                <w:sz w:val="2"/>
                <w:szCs w:val="2"/>
              </w:rPr>
            </w:pPr>
          </w:p>
        </w:tc>
        <w:tc>
          <w:tcPr>
            <w:tcW w:w="11209" w:type="dxa"/>
            <w:shd w:val="clear" w:color="auto" w:fill="FBE3D5"/>
          </w:tcPr>
          <w:p>
            <w:pPr>
              <w:pStyle w:val="TableParagraph"/>
              <w:spacing w:before="3"/>
              <w:ind w:left="69"/>
              <w:rPr>
                <w:rFonts w:ascii="Times New Roman"/>
                <w:b/>
                <w:sz w:val="22"/>
              </w:rPr>
            </w:pPr>
            <w:r>
              <w:rPr>
                <w:rFonts w:ascii="Times New Roman"/>
                <w:b/>
                <w:w w:val="75"/>
                <w:sz w:val="22"/>
              </w:rPr>
              <w:t>11. ADECUACION DE INFRAESTRUCTURA Y EQUIPAMIENTO</w:t>
            </w:r>
          </w:p>
        </w:tc>
        <w:tc>
          <w:tcPr>
            <w:tcW w:w="1392" w:type="dxa"/>
          </w:tcPr>
          <w:p>
            <w:pPr>
              <w:pStyle w:val="TableParagraph"/>
              <w:spacing w:before="3"/>
              <w:ind w:left="103"/>
              <w:rPr>
                <w:rFonts w:ascii="Times New Roman"/>
                <w:b/>
                <w:sz w:val="22"/>
              </w:rPr>
            </w:pPr>
            <w:r>
              <w:rPr>
                <w:rFonts w:ascii="Times New Roman"/>
                <w:b/>
                <w:w w:val="75"/>
                <w:sz w:val="22"/>
              </w:rPr>
              <w:t>44900000</w:t>
            </w:r>
          </w:p>
        </w:tc>
      </w:tr>
      <w:tr>
        <w:trPr>
          <w:trHeight w:val="306" w:hRule="atLeast"/>
        </w:trPr>
        <w:tc>
          <w:tcPr>
            <w:tcW w:w="1541" w:type="dxa"/>
            <w:vMerge w:val="restart"/>
            <w:shd w:val="clear" w:color="auto" w:fill="5B9BD4"/>
            <w:textDirection w:val="tbRl"/>
          </w:tcPr>
          <w:p>
            <w:pPr>
              <w:pStyle w:val="TableParagraph"/>
              <w:rPr>
                <w:b/>
                <w:sz w:val="24"/>
              </w:rPr>
            </w:pPr>
          </w:p>
          <w:p>
            <w:pPr>
              <w:pStyle w:val="TableParagraph"/>
              <w:spacing w:before="12"/>
              <w:rPr>
                <w:b/>
                <w:sz w:val="25"/>
              </w:rPr>
            </w:pPr>
          </w:p>
          <w:p>
            <w:pPr>
              <w:pStyle w:val="TableParagraph"/>
              <w:ind w:left="558"/>
              <w:rPr>
                <w:rFonts w:ascii="Times New Roman"/>
                <w:b/>
                <w:sz w:val="22"/>
              </w:rPr>
            </w:pPr>
            <w:r>
              <w:rPr>
                <w:rFonts w:ascii="Times New Roman"/>
                <w:b/>
                <w:w w:val="75"/>
                <w:sz w:val="22"/>
              </w:rPr>
              <w:t>MUNAY</w:t>
            </w:r>
          </w:p>
        </w:tc>
        <w:tc>
          <w:tcPr>
            <w:tcW w:w="11209" w:type="dxa"/>
            <w:shd w:val="clear" w:color="auto" w:fill="5B9BD4"/>
          </w:tcPr>
          <w:p>
            <w:pPr>
              <w:pStyle w:val="TableParagraph"/>
              <w:rPr>
                <w:rFonts w:ascii="Times New Roman"/>
                <w:sz w:val="22"/>
              </w:rPr>
            </w:pPr>
          </w:p>
        </w:tc>
        <w:tc>
          <w:tcPr>
            <w:tcW w:w="1392" w:type="dxa"/>
            <w:shd w:val="clear" w:color="auto" w:fill="5B9BD4"/>
          </w:tcPr>
          <w:p>
            <w:pPr>
              <w:pStyle w:val="TableParagraph"/>
              <w:spacing w:before="5"/>
              <w:ind w:left="67"/>
              <w:rPr>
                <w:rFonts w:ascii="Times New Roman"/>
                <w:b/>
                <w:sz w:val="22"/>
              </w:rPr>
            </w:pPr>
            <w:r>
              <w:rPr>
                <w:rFonts w:ascii="Times New Roman"/>
                <w:b/>
                <w:w w:val="75"/>
                <w:sz w:val="22"/>
              </w:rPr>
              <w:t>SUBTOTAL</w:t>
            </w:r>
          </w:p>
        </w:tc>
      </w:tr>
      <w:tr>
        <w:trPr>
          <w:trHeight w:val="316" w:hRule="atLeast"/>
        </w:trPr>
        <w:tc>
          <w:tcPr>
            <w:tcW w:w="1541" w:type="dxa"/>
            <w:vMerge/>
            <w:tcBorders>
              <w:top w:val="nil"/>
            </w:tcBorders>
            <w:shd w:val="clear" w:color="auto" w:fill="5B9BD4"/>
            <w:textDirection w:val="tbRl"/>
          </w:tcPr>
          <w:p>
            <w:pPr>
              <w:rPr>
                <w:sz w:val="2"/>
                <w:szCs w:val="2"/>
              </w:rPr>
            </w:pPr>
          </w:p>
        </w:tc>
        <w:tc>
          <w:tcPr>
            <w:tcW w:w="11209" w:type="dxa"/>
            <w:shd w:val="clear" w:color="auto" w:fill="DDEBF7"/>
          </w:tcPr>
          <w:p>
            <w:pPr>
              <w:pStyle w:val="TableParagraph"/>
              <w:spacing w:before="3"/>
              <w:ind w:left="69"/>
              <w:rPr>
                <w:rFonts w:ascii="Times New Roman"/>
                <w:b/>
                <w:sz w:val="22"/>
              </w:rPr>
            </w:pPr>
            <w:r>
              <w:rPr>
                <w:rFonts w:ascii="Times New Roman"/>
                <w:b/>
                <w:w w:val="75"/>
                <w:sz w:val="22"/>
              </w:rPr>
              <w:t>12. SISTEMA PREPARATORIO DE PREADMISION</w:t>
            </w:r>
          </w:p>
        </w:tc>
        <w:tc>
          <w:tcPr>
            <w:tcW w:w="1392" w:type="dxa"/>
          </w:tcPr>
          <w:p>
            <w:pPr>
              <w:pStyle w:val="TableParagraph"/>
              <w:spacing w:before="3"/>
              <w:ind w:left="67"/>
              <w:rPr>
                <w:rFonts w:ascii="Times New Roman"/>
                <w:b/>
                <w:sz w:val="22"/>
              </w:rPr>
            </w:pPr>
            <w:r>
              <w:rPr>
                <w:rFonts w:ascii="Times New Roman"/>
                <w:b/>
                <w:w w:val="75"/>
                <w:sz w:val="22"/>
              </w:rPr>
              <w:t>314000</w:t>
            </w:r>
          </w:p>
        </w:tc>
      </w:tr>
      <w:tr>
        <w:trPr>
          <w:trHeight w:val="304" w:hRule="atLeast"/>
        </w:trPr>
        <w:tc>
          <w:tcPr>
            <w:tcW w:w="1541" w:type="dxa"/>
            <w:vMerge/>
            <w:tcBorders>
              <w:top w:val="nil"/>
            </w:tcBorders>
            <w:shd w:val="clear" w:color="auto" w:fill="5B9BD4"/>
            <w:textDirection w:val="tbRl"/>
          </w:tcPr>
          <w:p>
            <w:pPr>
              <w:rPr>
                <w:sz w:val="2"/>
                <w:szCs w:val="2"/>
              </w:rPr>
            </w:pPr>
          </w:p>
        </w:tc>
        <w:tc>
          <w:tcPr>
            <w:tcW w:w="11209" w:type="dxa"/>
            <w:shd w:val="clear" w:color="auto" w:fill="DDEBF7"/>
          </w:tcPr>
          <w:p>
            <w:pPr>
              <w:pStyle w:val="TableParagraph"/>
              <w:spacing w:before="3"/>
              <w:ind w:left="69"/>
              <w:rPr>
                <w:rFonts w:ascii="Times New Roman"/>
                <w:b/>
                <w:sz w:val="22"/>
              </w:rPr>
            </w:pPr>
            <w:r>
              <w:rPr>
                <w:rFonts w:ascii="Times New Roman"/>
                <w:b/>
                <w:w w:val="75"/>
                <w:sz w:val="22"/>
              </w:rPr>
              <w:t>13. ESPACIOS DE INTERAPRENDIZAJE APLICADO</w:t>
            </w:r>
          </w:p>
        </w:tc>
        <w:tc>
          <w:tcPr>
            <w:tcW w:w="1392" w:type="dxa"/>
          </w:tcPr>
          <w:p>
            <w:pPr>
              <w:pStyle w:val="TableParagraph"/>
              <w:spacing w:before="3"/>
              <w:ind w:left="67"/>
              <w:rPr>
                <w:rFonts w:ascii="Times New Roman"/>
                <w:b/>
                <w:sz w:val="22"/>
              </w:rPr>
            </w:pPr>
            <w:r>
              <w:rPr>
                <w:rFonts w:ascii="Times New Roman"/>
                <w:b/>
                <w:w w:val="75"/>
                <w:sz w:val="22"/>
              </w:rPr>
              <w:t>366000</w:t>
            </w:r>
          </w:p>
        </w:tc>
      </w:tr>
      <w:tr>
        <w:trPr>
          <w:trHeight w:val="400" w:hRule="atLeast"/>
        </w:trPr>
        <w:tc>
          <w:tcPr>
            <w:tcW w:w="1541" w:type="dxa"/>
            <w:vMerge/>
            <w:tcBorders>
              <w:top w:val="nil"/>
            </w:tcBorders>
            <w:shd w:val="clear" w:color="auto" w:fill="5B9BD4"/>
            <w:textDirection w:val="tbRl"/>
          </w:tcPr>
          <w:p>
            <w:pPr>
              <w:rPr>
                <w:sz w:val="2"/>
                <w:szCs w:val="2"/>
              </w:rPr>
            </w:pPr>
          </w:p>
        </w:tc>
        <w:tc>
          <w:tcPr>
            <w:tcW w:w="11209" w:type="dxa"/>
            <w:shd w:val="clear" w:color="auto" w:fill="DDEBF7"/>
          </w:tcPr>
          <w:p>
            <w:pPr>
              <w:pStyle w:val="TableParagraph"/>
              <w:spacing w:before="3"/>
              <w:ind w:left="69"/>
              <w:rPr>
                <w:rFonts w:ascii="Times New Roman"/>
                <w:b/>
                <w:sz w:val="22"/>
              </w:rPr>
            </w:pPr>
            <w:r>
              <w:rPr>
                <w:rFonts w:ascii="Times New Roman"/>
                <w:b/>
                <w:w w:val="75"/>
                <w:sz w:val="22"/>
              </w:rPr>
              <w:t>14. VIVENCIA DE LA IDENTIDAD CULTURAL</w:t>
            </w:r>
          </w:p>
        </w:tc>
        <w:tc>
          <w:tcPr>
            <w:tcW w:w="1392" w:type="dxa"/>
          </w:tcPr>
          <w:p>
            <w:pPr>
              <w:pStyle w:val="TableParagraph"/>
              <w:spacing w:before="3"/>
              <w:ind w:left="103"/>
              <w:rPr>
                <w:rFonts w:ascii="Times New Roman"/>
                <w:b/>
                <w:sz w:val="22"/>
              </w:rPr>
            </w:pPr>
            <w:r>
              <w:rPr>
                <w:rFonts w:ascii="Times New Roman"/>
                <w:b/>
                <w:w w:val="75"/>
                <w:sz w:val="22"/>
              </w:rPr>
              <w:t>117000</w:t>
            </w:r>
          </w:p>
        </w:tc>
      </w:tr>
      <w:tr>
        <w:trPr>
          <w:trHeight w:val="304" w:hRule="atLeast"/>
        </w:trPr>
        <w:tc>
          <w:tcPr>
            <w:tcW w:w="1541" w:type="dxa"/>
            <w:vMerge/>
            <w:tcBorders>
              <w:top w:val="nil"/>
            </w:tcBorders>
            <w:shd w:val="clear" w:color="auto" w:fill="5B9BD4"/>
            <w:textDirection w:val="tbRl"/>
          </w:tcPr>
          <w:p>
            <w:pPr>
              <w:rPr>
                <w:sz w:val="2"/>
                <w:szCs w:val="2"/>
              </w:rPr>
            </w:pPr>
          </w:p>
        </w:tc>
        <w:tc>
          <w:tcPr>
            <w:tcW w:w="11209" w:type="dxa"/>
            <w:shd w:val="clear" w:color="auto" w:fill="DDEBF7"/>
          </w:tcPr>
          <w:p>
            <w:pPr>
              <w:pStyle w:val="TableParagraph"/>
              <w:spacing w:before="3"/>
              <w:ind w:left="69"/>
              <w:rPr>
                <w:rFonts w:ascii="Times New Roman"/>
                <w:b/>
                <w:sz w:val="22"/>
              </w:rPr>
            </w:pPr>
            <w:r>
              <w:rPr>
                <w:rFonts w:ascii="Times New Roman"/>
                <w:b/>
                <w:w w:val="75"/>
                <w:sz w:val="22"/>
              </w:rPr>
              <w:t>15. POSICIONAMIENTO INSTITUCIONAL</w:t>
            </w:r>
          </w:p>
        </w:tc>
        <w:tc>
          <w:tcPr>
            <w:tcW w:w="1392" w:type="dxa"/>
          </w:tcPr>
          <w:p>
            <w:pPr>
              <w:pStyle w:val="TableParagraph"/>
              <w:spacing w:before="3"/>
              <w:ind w:left="103"/>
              <w:rPr>
                <w:rFonts w:ascii="Times New Roman"/>
                <w:b/>
                <w:sz w:val="22"/>
              </w:rPr>
            </w:pPr>
            <w:r>
              <w:rPr>
                <w:rFonts w:ascii="Times New Roman"/>
                <w:b/>
                <w:w w:val="75"/>
                <w:sz w:val="22"/>
              </w:rPr>
              <w:t>755000</w:t>
            </w:r>
          </w:p>
        </w:tc>
      </w:tr>
      <w:tr>
        <w:trPr>
          <w:trHeight w:val="305" w:hRule="atLeast"/>
        </w:trPr>
        <w:tc>
          <w:tcPr>
            <w:tcW w:w="1541" w:type="dxa"/>
          </w:tcPr>
          <w:p>
            <w:pPr>
              <w:pStyle w:val="TableParagraph"/>
              <w:rPr>
                <w:rFonts w:ascii="Times New Roman"/>
                <w:sz w:val="22"/>
              </w:rPr>
            </w:pPr>
          </w:p>
        </w:tc>
        <w:tc>
          <w:tcPr>
            <w:tcW w:w="11209" w:type="dxa"/>
            <w:shd w:val="clear" w:color="auto" w:fill="9BC2E6"/>
          </w:tcPr>
          <w:p>
            <w:pPr>
              <w:pStyle w:val="TableParagraph"/>
              <w:spacing w:before="4"/>
              <w:ind w:left="5012" w:right="5005"/>
              <w:jc w:val="center"/>
              <w:rPr>
                <w:rFonts w:ascii="Times New Roman"/>
                <w:b/>
                <w:sz w:val="22"/>
              </w:rPr>
            </w:pPr>
            <w:r>
              <w:rPr>
                <w:rFonts w:ascii="Times New Roman"/>
                <w:b/>
                <w:w w:val="75"/>
                <w:sz w:val="22"/>
              </w:rPr>
              <w:t>inprevistos</w:t>
            </w:r>
          </w:p>
        </w:tc>
        <w:tc>
          <w:tcPr>
            <w:tcW w:w="1392" w:type="dxa"/>
          </w:tcPr>
          <w:p>
            <w:pPr>
              <w:pStyle w:val="TableParagraph"/>
              <w:spacing w:before="4"/>
              <w:ind w:left="740"/>
              <w:rPr>
                <w:rFonts w:ascii="Times New Roman"/>
                <w:b/>
                <w:sz w:val="22"/>
              </w:rPr>
            </w:pPr>
            <w:r>
              <w:rPr>
                <w:rFonts w:ascii="Times New Roman"/>
                <w:b/>
                <w:w w:val="70"/>
                <w:sz w:val="22"/>
              </w:rPr>
              <w:t>16800000</w:t>
            </w:r>
          </w:p>
        </w:tc>
      </w:tr>
      <w:tr>
        <w:trPr>
          <w:trHeight w:val="388" w:hRule="atLeast"/>
        </w:trPr>
        <w:tc>
          <w:tcPr>
            <w:tcW w:w="1541" w:type="dxa"/>
          </w:tcPr>
          <w:p>
            <w:pPr>
              <w:pStyle w:val="TableParagraph"/>
              <w:rPr>
                <w:rFonts w:ascii="Times New Roman"/>
                <w:sz w:val="22"/>
              </w:rPr>
            </w:pPr>
          </w:p>
        </w:tc>
        <w:tc>
          <w:tcPr>
            <w:tcW w:w="11209" w:type="dxa"/>
            <w:shd w:val="clear" w:color="auto" w:fill="9BC2E6"/>
          </w:tcPr>
          <w:p>
            <w:pPr>
              <w:pStyle w:val="TableParagraph"/>
              <w:spacing w:before="9"/>
              <w:ind w:left="5015" w:right="5005"/>
              <w:jc w:val="center"/>
              <w:rPr>
                <w:rFonts w:ascii="Times New Roman"/>
                <w:b/>
                <w:sz w:val="28"/>
              </w:rPr>
            </w:pPr>
            <w:r>
              <w:rPr>
                <w:rFonts w:ascii="Times New Roman"/>
                <w:b/>
                <w:w w:val="75"/>
                <w:sz w:val="28"/>
              </w:rPr>
              <w:t>TOTAL PEI</w:t>
            </w:r>
          </w:p>
        </w:tc>
        <w:tc>
          <w:tcPr>
            <w:tcW w:w="1392" w:type="dxa"/>
          </w:tcPr>
          <w:p>
            <w:pPr>
              <w:pStyle w:val="TableParagraph"/>
              <w:spacing w:before="9"/>
              <w:ind w:left="67"/>
              <w:rPr>
                <w:rFonts w:ascii="Times New Roman"/>
                <w:b/>
                <w:sz w:val="28"/>
              </w:rPr>
            </w:pPr>
            <w:r>
              <w:rPr>
                <w:rFonts w:ascii="Times New Roman"/>
                <w:b/>
                <w:w w:val="75"/>
                <w:sz w:val="28"/>
              </w:rPr>
              <w:t>187844500</w:t>
            </w:r>
          </w:p>
        </w:tc>
      </w:tr>
    </w:tbl>
    <w:p>
      <w:pPr>
        <w:spacing w:after="0"/>
        <w:rPr>
          <w:rFonts w:ascii="Times New Roman"/>
          <w:sz w:val="28"/>
        </w:rPr>
        <w:sectPr>
          <w:pgSz w:w="16840" w:h="11910" w:orient="landscape"/>
          <w:pgMar w:header="0" w:footer="923" w:top="1100" w:bottom="1200" w:left="1240" w:right="1220"/>
        </w:sectPr>
      </w:pPr>
    </w:p>
    <w:p>
      <w:pPr>
        <w:pStyle w:val="BodyText"/>
        <w:rPr>
          <w:rFonts w:ascii="Calibri"/>
          <w:b/>
          <w:sz w:val="20"/>
        </w:rPr>
      </w:pPr>
    </w:p>
    <w:p>
      <w:pPr>
        <w:pStyle w:val="BodyText"/>
        <w:spacing w:before="10"/>
        <w:rPr>
          <w:rFonts w:ascii="Calibri"/>
          <w:b/>
          <w:sz w:val="22"/>
        </w:rPr>
      </w:pPr>
    </w:p>
    <w:p>
      <w:pPr>
        <w:spacing w:before="83"/>
        <w:ind w:left="178" w:right="0" w:firstLine="0"/>
        <w:jc w:val="left"/>
        <w:rPr>
          <w:rFonts w:ascii="Times New Roman" w:hAnsi="Times New Roman"/>
          <w:b/>
          <w:sz w:val="40"/>
        </w:rPr>
      </w:pPr>
      <w:r>
        <w:rPr>
          <w:rFonts w:ascii="Times New Roman" w:hAnsi="Times New Roman"/>
          <w:b/>
          <w:w w:val="70"/>
          <w:sz w:val="40"/>
        </w:rPr>
        <w:t>REQUERIMIENTO PRESUPUESTARIO P/ACTIVIDAD/ TRIMESTRE SEGÚN DIMENSIONES (PEI 2016 - 2020)</w:t>
      </w:r>
    </w:p>
    <w:p>
      <w:pPr>
        <w:pStyle w:val="BodyText"/>
        <w:spacing w:before="3"/>
        <w:rPr>
          <w:rFonts w:ascii="Times New Roman"/>
          <w:b/>
          <w:sz w:val="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2"/>
        <w:gridCol w:w="840"/>
        <w:gridCol w:w="499"/>
        <w:gridCol w:w="602"/>
        <w:gridCol w:w="603"/>
        <w:gridCol w:w="605"/>
        <w:gridCol w:w="535"/>
        <w:gridCol w:w="473"/>
        <w:gridCol w:w="607"/>
        <w:gridCol w:w="602"/>
        <w:gridCol w:w="538"/>
        <w:gridCol w:w="538"/>
        <w:gridCol w:w="603"/>
        <w:gridCol w:w="603"/>
        <w:gridCol w:w="538"/>
        <w:gridCol w:w="538"/>
        <w:gridCol w:w="539"/>
        <w:gridCol w:w="603"/>
        <w:gridCol w:w="538"/>
        <w:gridCol w:w="536"/>
        <w:gridCol w:w="538"/>
        <w:gridCol w:w="627"/>
        <w:gridCol w:w="1001"/>
      </w:tblGrid>
      <w:tr>
        <w:trPr>
          <w:trHeight w:val="510" w:hRule="atLeast"/>
        </w:trPr>
        <w:tc>
          <w:tcPr>
            <w:tcW w:w="1042" w:type="dxa"/>
            <w:shd w:val="clear" w:color="auto" w:fill="92D050"/>
          </w:tcPr>
          <w:p>
            <w:pPr>
              <w:pStyle w:val="TableParagraph"/>
              <w:spacing w:before="9"/>
              <w:ind w:left="69"/>
              <w:rPr>
                <w:rFonts w:ascii="Times New Roman"/>
                <w:b/>
                <w:sz w:val="18"/>
              </w:rPr>
            </w:pPr>
            <w:r>
              <w:rPr>
                <w:rFonts w:ascii="Times New Roman"/>
                <w:b/>
                <w:w w:val="75"/>
                <w:sz w:val="18"/>
              </w:rPr>
              <w:t>DIMENSION</w:t>
            </w:r>
          </w:p>
          <w:p>
            <w:pPr>
              <w:pStyle w:val="TableParagraph"/>
              <w:spacing w:before="40"/>
              <w:ind w:left="69"/>
              <w:rPr>
                <w:rFonts w:ascii="Times New Roman"/>
                <w:b/>
                <w:sz w:val="18"/>
              </w:rPr>
            </w:pPr>
            <w:r>
              <w:rPr>
                <w:rFonts w:ascii="Times New Roman"/>
                <w:b/>
                <w:w w:val="75"/>
                <w:sz w:val="18"/>
              </w:rPr>
              <w:t>YACHAY</w:t>
            </w:r>
          </w:p>
        </w:tc>
        <w:tc>
          <w:tcPr>
            <w:tcW w:w="840" w:type="dxa"/>
            <w:shd w:val="clear" w:color="auto" w:fill="92D050"/>
          </w:tcPr>
          <w:p>
            <w:pPr>
              <w:pStyle w:val="TableParagraph"/>
              <w:rPr>
                <w:rFonts w:ascii="Times New Roman"/>
                <w:sz w:val="20"/>
              </w:rPr>
            </w:pPr>
          </w:p>
        </w:tc>
        <w:tc>
          <w:tcPr>
            <w:tcW w:w="2309" w:type="dxa"/>
            <w:gridSpan w:val="4"/>
            <w:shd w:val="clear" w:color="auto" w:fill="6F2F9F"/>
          </w:tcPr>
          <w:p>
            <w:pPr>
              <w:pStyle w:val="TableParagraph"/>
              <w:spacing w:line="209" w:lineRule="exact"/>
              <w:ind w:left="611"/>
              <w:rPr>
                <w:rFonts w:ascii="Bookman Old Style" w:hAnsi="Bookman Old Style"/>
                <w:b w:val="0"/>
                <w:sz w:val="18"/>
              </w:rPr>
            </w:pPr>
            <w:r>
              <w:rPr>
                <w:rFonts w:ascii="Bookman Old Style" w:hAnsi="Bookman Old Style"/>
                <w:b w:val="0"/>
                <w:color w:val="FFFFFF"/>
                <w:w w:val="65"/>
                <w:sz w:val="18"/>
              </w:rPr>
              <w:t>año 1 (por trimestres)</w:t>
            </w:r>
          </w:p>
        </w:tc>
        <w:tc>
          <w:tcPr>
            <w:tcW w:w="2217" w:type="dxa"/>
            <w:gridSpan w:val="4"/>
            <w:shd w:val="clear" w:color="auto" w:fill="C55811"/>
          </w:tcPr>
          <w:p>
            <w:pPr>
              <w:pStyle w:val="TableParagraph"/>
              <w:spacing w:line="209" w:lineRule="exact"/>
              <w:ind w:left="566"/>
              <w:rPr>
                <w:rFonts w:ascii="Bookman Old Style" w:hAnsi="Bookman Old Style"/>
                <w:b w:val="0"/>
                <w:sz w:val="18"/>
              </w:rPr>
            </w:pPr>
            <w:r>
              <w:rPr>
                <w:rFonts w:ascii="Bookman Old Style" w:hAnsi="Bookman Old Style"/>
                <w:b w:val="0"/>
                <w:color w:val="FFFFFF"/>
                <w:w w:val="65"/>
                <w:sz w:val="18"/>
              </w:rPr>
              <w:t>año 2 (por trimestres)</w:t>
            </w:r>
          </w:p>
        </w:tc>
        <w:tc>
          <w:tcPr>
            <w:tcW w:w="2282" w:type="dxa"/>
            <w:gridSpan w:val="4"/>
          </w:tcPr>
          <w:p>
            <w:pPr>
              <w:pStyle w:val="TableParagraph"/>
              <w:spacing w:line="209" w:lineRule="exact"/>
              <w:ind w:left="598"/>
              <w:rPr>
                <w:rFonts w:ascii="Bookman Old Style" w:hAnsi="Bookman Old Style"/>
                <w:b w:val="0"/>
                <w:sz w:val="18"/>
              </w:rPr>
            </w:pPr>
            <w:r>
              <w:rPr>
                <w:rFonts w:ascii="Bookman Old Style" w:hAnsi="Bookman Old Style"/>
                <w:b w:val="0"/>
                <w:w w:val="65"/>
                <w:sz w:val="18"/>
              </w:rPr>
              <w:t>año 3 (por trimestres)</w:t>
            </w:r>
          </w:p>
        </w:tc>
        <w:tc>
          <w:tcPr>
            <w:tcW w:w="2218" w:type="dxa"/>
            <w:gridSpan w:val="4"/>
            <w:shd w:val="clear" w:color="auto" w:fill="66FF33"/>
          </w:tcPr>
          <w:p>
            <w:pPr>
              <w:pStyle w:val="TableParagraph"/>
              <w:spacing w:line="209" w:lineRule="exact"/>
              <w:ind w:left="563"/>
              <w:rPr>
                <w:rFonts w:ascii="Bookman Old Style" w:hAnsi="Bookman Old Style"/>
                <w:b w:val="0"/>
                <w:sz w:val="18"/>
              </w:rPr>
            </w:pPr>
            <w:r>
              <w:rPr>
                <w:rFonts w:ascii="Bookman Old Style" w:hAnsi="Bookman Old Style"/>
                <w:b w:val="0"/>
                <w:w w:val="50"/>
                <w:sz w:val="18"/>
              </w:rPr>
              <w:t>añ</w:t>
            </w:r>
            <w:r>
              <w:rPr>
                <w:rFonts w:ascii="Bookman Old Style" w:hAnsi="Bookman Old Style"/>
                <w:b w:val="0"/>
                <w:w w:val="58"/>
                <w:sz w:val="18"/>
              </w:rPr>
              <w:t>o</w:t>
            </w:r>
            <w:r>
              <w:rPr>
                <w:rFonts w:ascii="Bookman Old Style" w:hAnsi="Bookman Old Style"/>
                <w:b w:val="0"/>
                <w:spacing w:val="-29"/>
                <w:sz w:val="18"/>
              </w:rPr>
              <w:t> </w:t>
            </w:r>
            <w:r>
              <w:rPr>
                <w:rFonts w:ascii="Bookman Old Style" w:hAnsi="Bookman Old Style"/>
                <w:b w:val="0"/>
                <w:smallCaps/>
                <w:w w:val="53"/>
                <w:sz w:val="18"/>
              </w:rPr>
              <w:t>4</w:t>
            </w:r>
            <w:r>
              <w:rPr>
                <w:rFonts w:ascii="Bookman Old Style" w:hAnsi="Bookman Old Style"/>
                <w:b w:val="0"/>
                <w:smallCaps w:val="0"/>
                <w:sz w:val="18"/>
              </w:rPr>
              <w:t> </w:t>
            </w:r>
            <w:r>
              <w:rPr>
                <w:rFonts w:ascii="Bookman Old Style" w:hAnsi="Bookman Old Style"/>
                <w:b w:val="0"/>
                <w:smallCaps w:val="0"/>
                <w:spacing w:val="-29"/>
                <w:sz w:val="18"/>
              </w:rPr>
              <w:t> </w:t>
            </w:r>
            <w:r>
              <w:rPr>
                <w:rFonts w:ascii="Bookman Old Style" w:hAnsi="Bookman Old Style"/>
                <w:b w:val="0"/>
                <w:smallCaps w:val="0"/>
                <w:spacing w:val="-2"/>
                <w:w w:val="73"/>
                <w:sz w:val="18"/>
              </w:rPr>
              <w:t>(</w:t>
            </w:r>
            <w:r>
              <w:rPr>
                <w:rFonts w:ascii="Bookman Old Style" w:hAnsi="Bookman Old Style"/>
                <w:b w:val="0"/>
                <w:smallCaps w:val="0"/>
                <w:w w:val="53"/>
                <w:sz w:val="18"/>
              </w:rPr>
              <w:t>p</w:t>
            </w:r>
            <w:r>
              <w:rPr>
                <w:rFonts w:ascii="Bookman Old Style" w:hAnsi="Bookman Old Style"/>
                <w:b w:val="0"/>
                <w:smallCaps w:val="0"/>
                <w:w w:val="58"/>
                <w:sz w:val="18"/>
              </w:rPr>
              <w:t>o</w:t>
            </w:r>
            <w:r>
              <w:rPr>
                <w:rFonts w:ascii="Bookman Old Style" w:hAnsi="Bookman Old Style"/>
                <w:b w:val="0"/>
                <w:smallCaps w:val="0"/>
                <w:w w:val="49"/>
                <w:sz w:val="18"/>
              </w:rPr>
              <w:t>r</w:t>
            </w:r>
            <w:r>
              <w:rPr>
                <w:rFonts w:ascii="Bookman Old Style" w:hAnsi="Bookman Old Style"/>
                <w:b w:val="0"/>
                <w:smallCaps w:val="0"/>
                <w:spacing w:val="-28"/>
                <w:sz w:val="18"/>
              </w:rPr>
              <w:t> </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61"/>
                <w:sz w:val="18"/>
              </w:rPr>
              <w:t>i</w:t>
            </w:r>
            <w:r>
              <w:rPr>
                <w:rFonts w:ascii="Bookman Old Style" w:hAnsi="Bookman Old Style"/>
                <w:b w:val="0"/>
                <w:smallCaps w:val="0"/>
                <w:spacing w:val="1"/>
                <w:w w:val="54"/>
                <w:sz w:val="18"/>
              </w:rPr>
              <w:t>m</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73"/>
                <w:sz w:val="18"/>
              </w:rPr>
              <w:t>)</w:t>
            </w:r>
          </w:p>
        </w:tc>
        <w:tc>
          <w:tcPr>
            <w:tcW w:w="2239" w:type="dxa"/>
            <w:gridSpan w:val="4"/>
            <w:shd w:val="clear" w:color="auto" w:fill="FF3300"/>
          </w:tcPr>
          <w:p>
            <w:pPr>
              <w:pStyle w:val="TableParagraph"/>
              <w:spacing w:line="209" w:lineRule="exact"/>
              <w:ind w:left="573"/>
              <w:rPr>
                <w:rFonts w:ascii="Bookman Old Style" w:hAnsi="Bookman Old Style"/>
                <w:b w:val="0"/>
                <w:sz w:val="18"/>
              </w:rPr>
            </w:pPr>
            <w:r>
              <w:rPr>
                <w:rFonts w:ascii="Bookman Old Style" w:hAnsi="Bookman Old Style"/>
                <w:b w:val="0"/>
                <w:w w:val="65"/>
                <w:sz w:val="18"/>
              </w:rPr>
              <w:t>año 5 (por trimestres)</w:t>
            </w:r>
          </w:p>
        </w:tc>
        <w:tc>
          <w:tcPr>
            <w:tcW w:w="1001" w:type="dxa"/>
          </w:tcPr>
          <w:p>
            <w:pPr>
              <w:pStyle w:val="TableParagraph"/>
              <w:spacing w:before="2"/>
              <w:ind w:left="64"/>
              <w:rPr>
                <w:rFonts w:ascii="Times New Roman"/>
                <w:b/>
                <w:sz w:val="18"/>
              </w:rPr>
            </w:pPr>
            <w:r>
              <w:rPr>
                <w:rFonts w:ascii="Times New Roman"/>
                <w:b/>
                <w:w w:val="70"/>
                <w:sz w:val="18"/>
              </w:rPr>
              <w:t>Subsubtotal por</w:t>
            </w:r>
          </w:p>
          <w:p>
            <w:pPr>
              <w:pStyle w:val="TableParagraph"/>
              <w:spacing w:before="42"/>
              <w:ind w:left="64"/>
              <w:rPr>
                <w:rFonts w:ascii="Times New Roman"/>
                <w:b/>
                <w:sz w:val="18"/>
              </w:rPr>
            </w:pPr>
            <w:r>
              <w:rPr>
                <w:rFonts w:ascii="Times New Roman"/>
                <w:b/>
                <w:w w:val="75"/>
                <w:sz w:val="18"/>
              </w:rPr>
              <w:t>actividad</w:t>
            </w:r>
          </w:p>
        </w:tc>
      </w:tr>
      <w:tr>
        <w:trPr>
          <w:trHeight w:val="299" w:hRule="atLeast"/>
        </w:trPr>
        <w:tc>
          <w:tcPr>
            <w:tcW w:w="1042" w:type="dxa"/>
            <w:shd w:val="clear" w:color="auto" w:fill="6FAC46"/>
          </w:tcPr>
          <w:p>
            <w:pPr>
              <w:pStyle w:val="TableParagraph"/>
              <w:spacing w:before="2"/>
              <w:ind w:left="69"/>
              <w:rPr>
                <w:rFonts w:ascii="Times New Roman"/>
                <w:b/>
                <w:sz w:val="18"/>
              </w:rPr>
            </w:pPr>
            <w:r>
              <w:rPr>
                <w:rFonts w:ascii="Times New Roman"/>
                <w:b/>
                <w:w w:val="70"/>
                <w:sz w:val="18"/>
              </w:rPr>
              <w:t>RESULTADOS</w:t>
            </w:r>
          </w:p>
        </w:tc>
        <w:tc>
          <w:tcPr>
            <w:tcW w:w="840" w:type="dxa"/>
            <w:shd w:val="clear" w:color="auto" w:fill="6FAC46"/>
          </w:tcPr>
          <w:p>
            <w:pPr>
              <w:pStyle w:val="TableParagraph"/>
              <w:spacing w:before="2"/>
              <w:ind w:left="31" w:right="30"/>
              <w:jc w:val="center"/>
              <w:rPr>
                <w:rFonts w:ascii="Times New Roman"/>
                <w:b/>
                <w:sz w:val="18"/>
              </w:rPr>
            </w:pPr>
            <w:r>
              <w:rPr>
                <w:rFonts w:ascii="Times New Roman"/>
                <w:b/>
                <w:w w:val="70"/>
                <w:sz w:val="18"/>
              </w:rPr>
              <w:t>ACTIVIDAD</w:t>
            </w:r>
          </w:p>
        </w:tc>
        <w:tc>
          <w:tcPr>
            <w:tcW w:w="499" w:type="dxa"/>
          </w:tcPr>
          <w:p>
            <w:pPr>
              <w:pStyle w:val="TableParagraph"/>
              <w:spacing w:before="2"/>
              <w:ind w:left="6"/>
              <w:jc w:val="center"/>
              <w:rPr>
                <w:rFonts w:ascii="Times New Roman"/>
                <w:b/>
                <w:sz w:val="18"/>
              </w:rPr>
            </w:pPr>
            <w:r>
              <w:rPr>
                <w:rFonts w:ascii="Times New Roman"/>
                <w:b/>
                <w:w w:val="66"/>
                <w:sz w:val="18"/>
              </w:rPr>
              <w:t>1</w:t>
            </w:r>
          </w:p>
        </w:tc>
        <w:tc>
          <w:tcPr>
            <w:tcW w:w="602" w:type="dxa"/>
          </w:tcPr>
          <w:p>
            <w:pPr>
              <w:pStyle w:val="TableParagraph"/>
              <w:spacing w:before="2"/>
              <w:ind w:left="5"/>
              <w:jc w:val="center"/>
              <w:rPr>
                <w:rFonts w:ascii="Times New Roman"/>
                <w:b/>
                <w:sz w:val="18"/>
              </w:rPr>
            </w:pPr>
            <w:r>
              <w:rPr>
                <w:rFonts w:ascii="Times New Roman"/>
                <w:b/>
                <w:w w:val="66"/>
                <w:sz w:val="18"/>
              </w:rPr>
              <w:t>2</w:t>
            </w:r>
          </w:p>
        </w:tc>
        <w:tc>
          <w:tcPr>
            <w:tcW w:w="603" w:type="dxa"/>
          </w:tcPr>
          <w:p>
            <w:pPr>
              <w:pStyle w:val="TableParagraph"/>
              <w:spacing w:line="209" w:lineRule="exact"/>
              <w:ind w:right="57"/>
              <w:jc w:val="right"/>
              <w:rPr>
                <w:rFonts w:ascii="Bookman Old Style"/>
                <w:b w:val="0"/>
                <w:sz w:val="18"/>
              </w:rPr>
            </w:pPr>
            <w:r>
              <w:rPr>
                <w:rFonts w:ascii="Bookman Old Style"/>
                <w:b w:val="0"/>
                <w:w w:val="53"/>
                <w:sz w:val="18"/>
              </w:rPr>
              <w:t>3</w:t>
            </w:r>
          </w:p>
        </w:tc>
        <w:tc>
          <w:tcPr>
            <w:tcW w:w="605" w:type="dxa"/>
          </w:tcPr>
          <w:p>
            <w:pPr>
              <w:pStyle w:val="TableParagraph"/>
              <w:spacing w:line="209" w:lineRule="exact"/>
              <w:ind w:right="60"/>
              <w:jc w:val="right"/>
              <w:rPr>
                <w:rFonts w:ascii="Bookman Old Style"/>
                <w:b w:val="0"/>
                <w:sz w:val="18"/>
              </w:rPr>
            </w:pPr>
            <w:r>
              <w:rPr>
                <w:rFonts w:ascii="Bookman Old Style"/>
                <w:b w:val="0"/>
                <w:smallCaps/>
                <w:w w:val="53"/>
                <w:sz w:val="18"/>
              </w:rPr>
              <w:t>4</w:t>
            </w:r>
          </w:p>
        </w:tc>
        <w:tc>
          <w:tcPr>
            <w:tcW w:w="535" w:type="dxa"/>
          </w:tcPr>
          <w:p>
            <w:pPr>
              <w:pStyle w:val="TableParagraph"/>
              <w:spacing w:before="2"/>
              <w:ind w:left="10"/>
              <w:jc w:val="center"/>
              <w:rPr>
                <w:rFonts w:ascii="Times New Roman"/>
                <w:b/>
                <w:sz w:val="18"/>
              </w:rPr>
            </w:pPr>
            <w:r>
              <w:rPr>
                <w:rFonts w:ascii="Times New Roman"/>
                <w:b/>
                <w:w w:val="66"/>
                <w:sz w:val="18"/>
              </w:rPr>
              <w:t>1</w:t>
            </w:r>
          </w:p>
        </w:tc>
        <w:tc>
          <w:tcPr>
            <w:tcW w:w="473" w:type="dxa"/>
          </w:tcPr>
          <w:p>
            <w:pPr>
              <w:pStyle w:val="TableParagraph"/>
              <w:spacing w:before="2"/>
              <w:ind w:left="5"/>
              <w:jc w:val="center"/>
              <w:rPr>
                <w:rFonts w:ascii="Times New Roman"/>
                <w:b/>
                <w:sz w:val="18"/>
              </w:rPr>
            </w:pPr>
            <w:r>
              <w:rPr>
                <w:rFonts w:ascii="Times New Roman"/>
                <w:b/>
                <w:w w:val="66"/>
                <w:sz w:val="18"/>
              </w:rPr>
              <w:t>2</w:t>
            </w:r>
          </w:p>
        </w:tc>
        <w:tc>
          <w:tcPr>
            <w:tcW w:w="607" w:type="dxa"/>
          </w:tcPr>
          <w:p>
            <w:pPr>
              <w:pStyle w:val="TableParagraph"/>
              <w:spacing w:line="209" w:lineRule="exact"/>
              <w:ind w:right="57"/>
              <w:jc w:val="right"/>
              <w:rPr>
                <w:rFonts w:ascii="Bookman Old Style"/>
                <w:b w:val="0"/>
                <w:sz w:val="18"/>
              </w:rPr>
            </w:pPr>
            <w:r>
              <w:rPr>
                <w:rFonts w:ascii="Bookman Old Style"/>
                <w:b w:val="0"/>
                <w:w w:val="53"/>
                <w:sz w:val="18"/>
              </w:rPr>
              <w:t>3</w:t>
            </w:r>
          </w:p>
        </w:tc>
        <w:tc>
          <w:tcPr>
            <w:tcW w:w="602" w:type="dxa"/>
          </w:tcPr>
          <w:p>
            <w:pPr>
              <w:pStyle w:val="TableParagraph"/>
              <w:spacing w:line="209" w:lineRule="exact"/>
              <w:ind w:right="57"/>
              <w:jc w:val="right"/>
              <w:rPr>
                <w:rFonts w:ascii="Bookman Old Style"/>
                <w:b w:val="0"/>
                <w:sz w:val="18"/>
              </w:rPr>
            </w:pPr>
            <w:r>
              <w:rPr>
                <w:rFonts w:ascii="Bookman Old Style"/>
                <w:b w:val="0"/>
                <w:smallCaps/>
                <w:w w:val="53"/>
                <w:sz w:val="18"/>
              </w:rPr>
              <w:t>4</w:t>
            </w:r>
          </w:p>
        </w:tc>
        <w:tc>
          <w:tcPr>
            <w:tcW w:w="538" w:type="dxa"/>
          </w:tcPr>
          <w:p>
            <w:pPr>
              <w:pStyle w:val="TableParagraph"/>
              <w:spacing w:before="2"/>
              <w:ind w:left="9"/>
              <w:jc w:val="center"/>
              <w:rPr>
                <w:rFonts w:ascii="Times New Roman"/>
                <w:b/>
                <w:sz w:val="18"/>
              </w:rPr>
            </w:pPr>
            <w:r>
              <w:rPr>
                <w:rFonts w:ascii="Times New Roman"/>
                <w:b/>
                <w:w w:val="66"/>
                <w:sz w:val="18"/>
              </w:rPr>
              <w:t>1</w:t>
            </w:r>
          </w:p>
        </w:tc>
        <w:tc>
          <w:tcPr>
            <w:tcW w:w="538" w:type="dxa"/>
          </w:tcPr>
          <w:p>
            <w:pPr>
              <w:pStyle w:val="TableParagraph"/>
              <w:spacing w:before="2"/>
              <w:ind w:left="8"/>
              <w:jc w:val="center"/>
              <w:rPr>
                <w:rFonts w:ascii="Times New Roman"/>
                <w:b/>
                <w:sz w:val="18"/>
              </w:rPr>
            </w:pPr>
            <w:r>
              <w:rPr>
                <w:rFonts w:ascii="Times New Roman"/>
                <w:b/>
                <w:w w:val="66"/>
                <w:sz w:val="18"/>
              </w:rPr>
              <w:t>2</w:t>
            </w:r>
          </w:p>
        </w:tc>
        <w:tc>
          <w:tcPr>
            <w:tcW w:w="603" w:type="dxa"/>
          </w:tcPr>
          <w:p>
            <w:pPr>
              <w:pStyle w:val="TableParagraph"/>
              <w:spacing w:line="209" w:lineRule="exact"/>
              <w:ind w:right="58"/>
              <w:jc w:val="right"/>
              <w:rPr>
                <w:rFonts w:ascii="Bookman Old Style"/>
                <w:b w:val="0"/>
                <w:sz w:val="18"/>
              </w:rPr>
            </w:pPr>
            <w:r>
              <w:rPr>
                <w:rFonts w:ascii="Bookman Old Style"/>
                <w:b w:val="0"/>
                <w:w w:val="53"/>
                <w:sz w:val="18"/>
              </w:rPr>
              <w:t>3</w:t>
            </w:r>
          </w:p>
        </w:tc>
        <w:tc>
          <w:tcPr>
            <w:tcW w:w="603" w:type="dxa"/>
          </w:tcPr>
          <w:p>
            <w:pPr>
              <w:pStyle w:val="TableParagraph"/>
              <w:spacing w:line="209" w:lineRule="exact"/>
              <w:ind w:right="58"/>
              <w:jc w:val="right"/>
              <w:rPr>
                <w:rFonts w:ascii="Bookman Old Style"/>
                <w:b w:val="0"/>
                <w:sz w:val="18"/>
              </w:rPr>
            </w:pPr>
            <w:r>
              <w:rPr>
                <w:rFonts w:ascii="Bookman Old Style"/>
                <w:b w:val="0"/>
                <w:smallCaps/>
                <w:w w:val="53"/>
                <w:sz w:val="18"/>
              </w:rPr>
              <w:t>4</w:t>
            </w:r>
          </w:p>
        </w:tc>
        <w:tc>
          <w:tcPr>
            <w:tcW w:w="538" w:type="dxa"/>
          </w:tcPr>
          <w:p>
            <w:pPr>
              <w:pStyle w:val="TableParagraph"/>
              <w:spacing w:before="2"/>
              <w:ind w:left="5"/>
              <w:jc w:val="center"/>
              <w:rPr>
                <w:rFonts w:ascii="Times New Roman"/>
                <w:b/>
                <w:sz w:val="18"/>
              </w:rPr>
            </w:pPr>
            <w:r>
              <w:rPr>
                <w:rFonts w:ascii="Times New Roman"/>
                <w:b/>
                <w:w w:val="66"/>
                <w:sz w:val="18"/>
              </w:rPr>
              <w:t>1</w:t>
            </w:r>
          </w:p>
        </w:tc>
        <w:tc>
          <w:tcPr>
            <w:tcW w:w="538" w:type="dxa"/>
          </w:tcPr>
          <w:p>
            <w:pPr>
              <w:pStyle w:val="TableParagraph"/>
              <w:spacing w:before="2"/>
              <w:ind w:left="4"/>
              <w:jc w:val="center"/>
              <w:rPr>
                <w:rFonts w:ascii="Times New Roman"/>
                <w:b/>
                <w:sz w:val="18"/>
              </w:rPr>
            </w:pPr>
            <w:r>
              <w:rPr>
                <w:rFonts w:ascii="Times New Roman"/>
                <w:b/>
                <w:w w:val="66"/>
                <w:sz w:val="18"/>
              </w:rPr>
              <w:t>2</w:t>
            </w:r>
          </w:p>
        </w:tc>
        <w:tc>
          <w:tcPr>
            <w:tcW w:w="539" w:type="dxa"/>
          </w:tcPr>
          <w:p>
            <w:pPr>
              <w:pStyle w:val="TableParagraph"/>
              <w:spacing w:line="209" w:lineRule="exact"/>
              <w:ind w:right="62"/>
              <w:jc w:val="right"/>
              <w:rPr>
                <w:rFonts w:ascii="Bookman Old Style"/>
                <w:b w:val="0"/>
                <w:sz w:val="18"/>
              </w:rPr>
            </w:pPr>
            <w:r>
              <w:rPr>
                <w:rFonts w:ascii="Bookman Old Style"/>
                <w:b w:val="0"/>
                <w:w w:val="53"/>
                <w:sz w:val="18"/>
              </w:rPr>
              <w:t>3</w:t>
            </w:r>
          </w:p>
        </w:tc>
        <w:tc>
          <w:tcPr>
            <w:tcW w:w="603" w:type="dxa"/>
          </w:tcPr>
          <w:p>
            <w:pPr>
              <w:pStyle w:val="TableParagraph"/>
              <w:spacing w:line="209" w:lineRule="exact"/>
              <w:ind w:right="63"/>
              <w:jc w:val="right"/>
              <w:rPr>
                <w:rFonts w:ascii="Bookman Old Style"/>
                <w:b w:val="0"/>
                <w:sz w:val="18"/>
              </w:rPr>
            </w:pPr>
            <w:r>
              <w:rPr>
                <w:rFonts w:ascii="Bookman Old Style"/>
                <w:b w:val="0"/>
                <w:smallCaps/>
                <w:w w:val="53"/>
                <w:sz w:val="18"/>
              </w:rPr>
              <w:t>4</w:t>
            </w:r>
          </w:p>
        </w:tc>
        <w:tc>
          <w:tcPr>
            <w:tcW w:w="538" w:type="dxa"/>
          </w:tcPr>
          <w:p>
            <w:pPr>
              <w:pStyle w:val="TableParagraph"/>
              <w:spacing w:line="209" w:lineRule="exact"/>
              <w:ind w:right="63"/>
              <w:jc w:val="right"/>
              <w:rPr>
                <w:rFonts w:ascii="Bookman Old Style"/>
                <w:b w:val="0"/>
                <w:sz w:val="18"/>
              </w:rPr>
            </w:pPr>
            <w:r>
              <w:rPr>
                <w:rFonts w:ascii="Bookman Old Style"/>
                <w:b w:val="0"/>
                <w:w w:val="53"/>
                <w:sz w:val="18"/>
              </w:rPr>
              <w:t>1</w:t>
            </w:r>
          </w:p>
        </w:tc>
        <w:tc>
          <w:tcPr>
            <w:tcW w:w="536" w:type="dxa"/>
          </w:tcPr>
          <w:p>
            <w:pPr>
              <w:pStyle w:val="TableParagraph"/>
              <w:spacing w:line="209" w:lineRule="exact"/>
              <w:ind w:right="64"/>
              <w:jc w:val="right"/>
              <w:rPr>
                <w:rFonts w:ascii="Bookman Old Style"/>
                <w:b w:val="0"/>
                <w:sz w:val="18"/>
              </w:rPr>
            </w:pPr>
            <w:r>
              <w:rPr>
                <w:rFonts w:ascii="Bookman Old Style"/>
                <w:b w:val="0"/>
                <w:w w:val="53"/>
                <w:sz w:val="18"/>
              </w:rPr>
              <w:t>2</w:t>
            </w:r>
          </w:p>
        </w:tc>
        <w:tc>
          <w:tcPr>
            <w:tcW w:w="538" w:type="dxa"/>
          </w:tcPr>
          <w:p>
            <w:pPr>
              <w:pStyle w:val="TableParagraph"/>
              <w:spacing w:line="209" w:lineRule="exact"/>
              <w:ind w:right="65"/>
              <w:jc w:val="right"/>
              <w:rPr>
                <w:rFonts w:ascii="Bookman Old Style"/>
                <w:b w:val="0"/>
                <w:sz w:val="18"/>
              </w:rPr>
            </w:pPr>
            <w:r>
              <w:rPr>
                <w:rFonts w:ascii="Bookman Old Style"/>
                <w:b w:val="0"/>
                <w:w w:val="53"/>
                <w:sz w:val="18"/>
              </w:rPr>
              <w:t>3</w:t>
            </w:r>
          </w:p>
        </w:tc>
        <w:tc>
          <w:tcPr>
            <w:tcW w:w="627" w:type="dxa"/>
          </w:tcPr>
          <w:p>
            <w:pPr>
              <w:pStyle w:val="TableParagraph"/>
              <w:spacing w:line="209" w:lineRule="exact"/>
              <w:ind w:right="63"/>
              <w:jc w:val="right"/>
              <w:rPr>
                <w:rFonts w:ascii="Bookman Old Style"/>
                <w:b w:val="0"/>
                <w:sz w:val="18"/>
              </w:rPr>
            </w:pPr>
            <w:r>
              <w:rPr>
                <w:rFonts w:ascii="Bookman Old Style"/>
                <w:b w:val="0"/>
                <w:smallCaps/>
                <w:w w:val="53"/>
                <w:sz w:val="18"/>
              </w:rPr>
              <w:t>4</w:t>
            </w:r>
          </w:p>
        </w:tc>
        <w:tc>
          <w:tcPr>
            <w:tcW w:w="1001" w:type="dxa"/>
          </w:tcPr>
          <w:p>
            <w:pPr>
              <w:pStyle w:val="TableParagraph"/>
              <w:rPr>
                <w:rFonts w:ascii="Times New Roman"/>
                <w:sz w:val="20"/>
              </w:rPr>
            </w:pPr>
          </w:p>
        </w:tc>
      </w:tr>
      <w:tr>
        <w:trPr>
          <w:trHeight w:val="278" w:hRule="atLeast"/>
        </w:trPr>
        <w:tc>
          <w:tcPr>
            <w:tcW w:w="1042" w:type="dxa"/>
            <w:vMerge w:val="restart"/>
          </w:tcPr>
          <w:p>
            <w:pPr>
              <w:pStyle w:val="TableParagraph"/>
              <w:spacing w:line="209" w:lineRule="exact"/>
              <w:ind w:left="69"/>
              <w:rPr>
                <w:rFonts w:ascii="Bookman Old Style"/>
                <w:b w:val="0"/>
                <w:sz w:val="18"/>
              </w:rPr>
            </w:pPr>
            <w:r>
              <w:rPr>
                <w:rFonts w:ascii="Bookman Old Style"/>
                <w:b w:val="0"/>
                <w:w w:val="65"/>
                <w:sz w:val="18"/>
              </w:rPr>
              <w:t>R.1.</w:t>
            </w: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w w:val="53"/>
                <w:sz w:val="18"/>
              </w:rPr>
              <w:t>1</w:t>
            </w:r>
          </w:p>
        </w:tc>
        <w:tc>
          <w:tcPr>
            <w:tcW w:w="499" w:type="dxa"/>
          </w:tcPr>
          <w:p>
            <w:pPr>
              <w:pStyle w:val="TableParagraph"/>
              <w:spacing w:line="233" w:lineRule="exact"/>
              <w:ind w:right="59"/>
              <w:jc w:val="right"/>
              <w:rPr>
                <w:rFonts w:ascii="Bookman Old Style"/>
                <w:b w:val="0"/>
                <w:sz w:val="20"/>
              </w:rPr>
            </w:pPr>
            <w:r>
              <w:rPr>
                <w:rFonts w:ascii="Bookman Old Style"/>
                <w:b w:val="0"/>
                <w:w w:val="50"/>
                <w:sz w:val="20"/>
              </w:rPr>
              <w:t>20000</w:t>
            </w: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20000</w:t>
            </w:r>
          </w:p>
        </w:tc>
      </w:tr>
      <w:tr>
        <w:trPr>
          <w:trHeight w:val="287"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w w:val="53"/>
                <w:sz w:val="18"/>
              </w:rPr>
              <w:t>2</w:t>
            </w:r>
          </w:p>
        </w:tc>
        <w:tc>
          <w:tcPr>
            <w:tcW w:w="499" w:type="dxa"/>
          </w:tcPr>
          <w:p>
            <w:pPr>
              <w:pStyle w:val="TableParagraph"/>
              <w:spacing w:line="233" w:lineRule="exact"/>
              <w:ind w:right="59"/>
              <w:jc w:val="right"/>
              <w:rPr>
                <w:rFonts w:ascii="Bookman Old Style"/>
                <w:b w:val="0"/>
                <w:sz w:val="20"/>
              </w:rPr>
            </w:pPr>
            <w:r>
              <w:rPr>
                <w:rFonts w:ascii="Bookman Old Style"/>
                <w:b w:val="0"/>
                <w:w w:val="50"/>
                <w:sz w:val="20"/>
              </w:rPr>
              <w:t>25000</w:t>
            </w:r>
          </w:p>
        </w:tc>
        <w:tc>
          <w:tcPr>
            <w:tcW w:w="602" w:type="dxa"/>
          </w:tcPr>
          <w:p>
            <w:pPr>
              <w:pStyle w:val="TableParagraph"/>
              <w:spacing w:line="233" w:lineRule="exact"/>
              <w:ind w:right="61"/>
              <w:jc w:val="right"/>
              <w:rPr>
                <w:rFonts w:ascii="Bookman Old Style"/>
                <w:b w:val="0"/>
                <w:sz w:val="20"/>
              </w:rPr>
            </w:pPr>
            <w:r>
              <w:rPr>
                <w:rFonts w:ascii="Bookman Old Style"/>
                <w:b w:val="0"/>
                <w:w w:val="50"/>
                <w:sz w:val="20"/>
              </w:rPr>
              <w:t>30000</w:t>
            </w: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55000</w:t>
            </w:r>
          </w:p>
        </w:tc>
      </w:tr>
      <w:tr>
        <w:trPr>
          <w:trHeight w:val="276" w:hRule="atLeast"/>
        </w:trPr>
        <w:tc>
          <w:tcPr>
            <w:tcW w:w="1042" w:type="dxa"/>
            <w:vMerge/>
            <w:tcBorders>
              <w:top w:val="nil"/>
            </w:tcBorders>
          </w:tcPr>
          <w:p>
            <w:pPr>
              <w:rPr>
                <w:sz w:val="2"/>
                <w:szCs w:val="2"/>
              </w:rPr>
            </w:pPr>
          </w:p>
        </w:tc>
        <w:tc>
          <w:tcPr>
            <w:tcW w:w="840" w:type="dxa"/>
            <w:shd w:val="clear" w:color="auto" w:fill="E1EEDA"/>
          </w:tcPr>
          <w:p>
            <w:pPr>
              <w:pStyle w:val="TableParagraph"/>
              <w:spacing w:line="210" w:lineRule="exact"/>
              <w:ind w:left="1"/>
              <w:jc w:val="center"/>
              <w:rPr>
                <w:rFonts w:ascii="Bookman Old Style"/>
                <w:b w:val="0"/>
                <w:sz w:val="18"/>
              </w:rPr>
            </w:pPr>
            <w:r>
              <w:rPr>
                <w:rFonts w:ascii="Bookman Old Style"/>
                <w:b w:val="0"/>
                <w:w w:val="53"/>
                <w:sz w:val="18"/>
              </w:rPr>
              <w:t>3</w:t>
            </w: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spacing w:line="234" w:lineRule="exact"/>
              <w:ind w:right="59"/>
              <w:jc w:val="right"/>
              <w:rPr>
                <w:rFonts w:ascii="Bookman Old Style"/>
                <w:b w:val="0"/>
                <w:sz w:val="20"/>
              </w:rPr>
            </w:pPr>
            <w:r>
              <w:rPr>
                <w:rFonts w:ascii="Bookman Old Style"/>
                <w:b w:val="0"/>
                <w:w w:val="50"/>
                <w:sz w:val="20"/>
              </w:rPr>
              <w:t>25000</w:t>
            </w: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25000</w:t>
            </w:r>
          </w:p>
        </w:tc>
      </w:tr>
      <w:tr>
        <w:trPr>
          <w:trHeight w:val="280" w:hRule="atLeast"/>
        </w:trPr>
        <w:tc>
          <w:tcPr>
            <w:tcW w:w="1042" w:type="dxa"/>
            <w:vMerge/>
            <w:tcBorders>
              <w:top w:val="nil"/>
            </w:tcBorders>
          </w:tcPr>
          <w:p>
            <w:pPr>
              <w:rPr>
                <w:sz w:val="2"/>
                <w:szCs w:val="2"/>
              </w:rPr>
            </w:pPr>
          </w:p>
        </w:tc>
        <w:tc>
          <w:tcPr>
            <w:tcW w:w="840" w:type="dxa"/>
            <w:shd w:val="clear" w:color="auto" w:fill="E1EEDA"/>
          </w:tcPr>
          <w:p>
            <w:pPr>
              <w:pStyle w:val="TableParagraph"/>
              <w:rPr>
                <w:rFonts w:ascii="Times New Roman"/>
                <w:sz w:val="20"/>
              </w:rPr>
            </w:pP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spacing w:line="233" w:lineRule="exact"/>
              <w:ind w:left="31" w:right="23"/>
              <w:jc w:val="center"/>
              <w:rPr>
                <w:rFonts w:ascii="Bookman Old Style"/>
                <w:b w:val="0"/>
                <w:sz w:val="20"/>
              </w:rPr>
            </w:pPr>
            <w:r>
              <w:rPr>
                <w:rFonts w:ascii="Bookman Old Style"/>
                <w:b w:val="0"/>
                <w:w w:val="55"/>
                <w:sz w:val="20"/>
              </w:rPr>
              <w:t>150000</w:t>
            </w:r>
          </w:p>
        </w:tc>
        <w:tc>
          <w:tcPr>
            <w:tcW w:w="473" w:type="dxa"/>
          </w:tcPr>
          <w:p>
            <w:pPr>
              <w:pStyle w:val="TableParagraph"/>
              <w:spacing w:line="233" w:lineRule="exact"/>
              <w:ind w:left="164" w:right="26"/>
              <w:jc w:val="center"/>
              <w:rPr>
                <w:rFonts w:ascii="Bookman Old Style"/>
                <w:b w:val="0"/>
                <w:sz w:val="20"/>
              </w:rPr>
            </w:pPr>
            <w:r>
              <w:rPr>
                <w:rFonts w:ascii="Bookman Old Style"/>
                <w:b w:val="0"/>
                <w:w w:val="60"/>
                <w:sz w:val="20"/>
              </w:rPr>
              <w:t>500</w:t>
            </w:r>
          </w:p>
        </w:tc>
        <w:tc>
          <w:tcPr>
            <w:tcW w:w="607" w:type="dxa"/>
          </w:tcPr>
          <w:p>
            <w:pPr>
              <w:pStyle w:val="TableParagraph"/>
              <w:spacing w:line="233" w:lineRule="exact"/>
              <w:ind w:right="58"/>
              <w:jc w:val="right"/>
              <w:rPr>
                <w:rFonts w:ascii="Bookman Old Style"/>
                <w:b w:val="0"/>
                <w:sz w:val="20"/>
              </w:rPr>
            </w:pPr>
            <w:r>
              <w:rPr>
                <w:rFonts w:ascii="Bookman Old Style"/>
                <w:b w:val="0"/>
                <w:w w:val="50"/>
                <w:sz w:val="20"/>
              </w:rPr>
              <w:t>500</w:t>
            </w:r>
          </w:p>
        </w:tc>
        <w:tc>
          <w:tcPr>
            <w:tcW w:w="602" w:type="dxa"/>
          </w:tcPr>
          <w:p>
            <w:pPr>
              <w:pStyle w:val="TableParagraph"/>
              <w:spacing w:line="233" w:lineRule="exact"/>
              <w:ind w:right="58"/>
              <w:jc w:val="right"/>
              <w:rPr>
                <w:rFonts w:ascii="Bookman Old Style"/>
                <w:b w:val="0"/>
                <w:sz w:val="20"/>
              </w:rPr>
            </w:pPr>
            <w:r>
              <w:rPr>
                <w:rFonts w:ascii="Bookman Old Style"/>
                <w:b w:val="0"/>
                <w:w w:val="50"/>
                <w:sz w:val="20"/>
              </w:rPr>
              <w:t>5000</w:t>
            </w:r>
          </w:p>
        </w:tc>
        <w:tc>
          <w:tcPr>
            <w:tcW w:w="538" w:type="dxa"/>
          </w:tcPr>
          <w:p>
            <w:pPr>
              <w:pStyle w:val="TableParagraph"/>
              <w:spacing w:line="233" w:lineRule="exact"/>
              <w:ind w:right="60"/>
              <w:jc w:val="right"/>
              <w:rPr>
                <w:rFonts w:ascii="Bookman Old Style"/>
                <w:b w:val="0"/>
                <w:sz w:val="20"/>
              </w:rPr>
            </w:pPr>
            <w:r>
              <w:rPr>
                <w:rFonts w:ascii="Bookman Old Style"/>
                <w:b w:val="0"/>
                <w:w w:val="50"/>
                <w:sz w:val="20"/>
              </w:rPr>
              <w:t>500</w:t>
            </w: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500</w:t>
            </w:r>
          </w:p>
        </w:tc>
        <w:tc>
          <w:tcPr>
            <w:tcW w:w="603" w:type="dxa"/>
          </w:tcPr>
          <w:p>
            <w:pPr>
              <w:pStyle w:val="TableParagraph"/>
              <w:spacing w:line="233" w:lineRule="exact"/>
              <w:ind w:right="59"/>
              <w:jc w:val="right"/>
              <w:rPr>
                <w:rFonts w:ascii="Bookman Old Style"/>
                <w:b w:val="0"/>
                <w:sz w:val="20"/>
              </w:rPr>
            </w:pPr>
            <w:r>
              <w:rPr>
                <w:rFonts w:ascii="Bookman Old Style"/>
                <w:b w:val="0"/>
                <w:w w:val="50"/>
                <w:sz w:val="20"/>
              </w:rPr>
              <w:t>500</w:t>
            </w:r>
          </w:p>
        </w:tc>
        <w:tc>
          <w:tcPr>
            <w:tcW w:w="603" w:type="dxa"/>
          </w:tcPr>
          <w:p>
            <w:pPr>
              <w:pStyle w:val="TableParagraph"/>
              <w:spacing w:line="233" w:lineRule="exact"/>
              <w:ind w:right="60"/>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500</w:t>
            </w:r>
          </w:p>
        </w:tc>
        <w:tc>
          <w:tcPr>
            <w:tcW w:w="538" w:type="dxa"/>
          </w:tcPr>
          <w:p>
            <w:pPr>
              <w:pStyle w:val="TableParagraph"/>
              <w:spacing w:line="233" w:lineRule="exact"/>
              <w:ind w:left="227" w:right="28"/>
              <w:jc w:val="center"/>
              <w:rPr>
                <w:rFonts w:ascii="Bookman Old Style"/>
                <w:b w:val="0"/>
                <w:sz w:val="20"/>
              </w:rPr>
            </w:pPr>
            <w:r>
              <w:rPr>
                <w:rFonts w:ascii="Bookman Old Style"/>
                <w:b w:val="0"/>
                <w:w w:val="60"/>
                <w:sz w:val="20"/>
              </w:rPr>
              <w:t>500</w:t>
            </w:r>
          </w:p>
        </w:tc>
        <w:tc>
          <w:tcPr>
            <w:tcW w:w="539" w:type="dxa"/>
          </w:tcPr>
          <w:p>
            <w:pPr>
              <w:pStyle w:val="TableParagraph"/>
              <w:spacing w:line="233" w:lineRule="exact"/>
              <w:ind w:right="64"/>
              <w:jc w:val="right"/>
              <w:rPr>
                <w:rFonts w:ascii="Bookman Old Style"/>
                <w:b w:val="0"/>
                <w:sz w:val="20"/>
              </w:rPr>
            </w:pPr>
            <w:r>
              <w:rPr>
                <w:rFonts w:ascii="Bookman Old Style"/>
                <w:b w:val="0"/>
                <w:w w:val="50"/>
                <w:sz w:val="20"/>
              </w:rPr>
              <w:t>500</w:t>
            </w:r>
          </w:p>
        </w:tc>
        <w:tc>
          <w:tcPr>
            <w:tcW w:w="603" w:type="dxa"/>
          </w:tcPr>
          <w:p>
            <w:pPr>
              <w:pStyle w:val="TableParagraph"/>
              <w:spacing w:line="233" w:lineRule="exact"/>
              <w:ind w:right="64"/>
              <w:jc w:val="right"/>
              <w:rPr>
                <w:rFonts w:ascii="Bookman Old Style"/>
                <w:b w:val="0"/>
                <w:sz w:val="20"/>
              </w:rPr>
            </w:pPr>
            <w:r>
              <w:rPr>
                <w:rFonts w:ascii="Bookman Old Style"/>
                <w:b w:val="0"/>
                <w:w w:val="50"/>
                <w:sz w:val="20"/>
              </w:rPr>
              <w:t>500</w:t>
            </w:r>
          </w:p>
        </w:tc>
        <w:tc>
          <w:tcPr>
            <w:tcW w:w="538" w:type="dxa"/>
          </w:tcPr>
          <w:p>
            <w:pPr>
              <w:pStyle w:val="TableParagraph"/>
              <w:spacing w:line="233" w:lineRule="exact"/>
              <w:ind w:right="65"/>
              <w:jc w:val="right"/>
              <w:rPr>
                <w:rFonts w:ascii="Bookman Old Style"/>
                <w:b w:val="0"/>
                <w:sz w:val="20"/>
              </w:rPr>
            </w:pPr>
            <w:r>
              <w:rPr>
                <w:rFonts w:ascii="Bookman Old Style"/>
                <w:b w:val="0"/>
                <w:w w:val="50"/>
                <w:sz w:val="20"/>
              </w:rPr>
              <w:t>500</w:t>
            </w:r>
          </w:p>
        </w:tc>
        <w:tc>
          <w:tcPr>
            <w:tcW w:w="536" w:type="dxa"/>
          </w:tcPr>
          <w:p>
            <w:pPr>
              <w:pStyle w:val="TableParagraph"/>
              <w:spacing w:line="233" w:lineRule="exact"/>
              <w:ind w:right="65"/>
              <w:jc w:val="right"/>
              <w:rPr>
                <w:rFonts w:ascii="Bookman Old Style"/>
                <w:b w:val="0"/>
                <w:sz w:val="20"/>
              </w:rPr>
            </w:pPr>
            <w:r>
              <w:rPr>
                <w:rFonts w:ascii="Bookman Old Style"/>
                <w:b w:val="0"/>
                <w:w w:val="50"/>
                <w:sz w:val="20"/>
              </w:rPr>
              <w:t>500</w:t>
            </w:r>
          </w:p>
        </w:tc>
        <w:tc>
          <w:tcPr>
            <w:tcW w:w="538" w:type="dxa"/>
          </w:tcPr>
          <w:p>
            <w:pPr>
              <w:pStyle w:val="TableParagraph"/>
              <w:spacing w:line="233" w:lineRule="exact"/>
              <w:ind w:right="66"/>
              <w:jc w:val="right"/>
              <w:rPr>
                <w:rFonts w:ascii="Bookman Old Style"/>
                <w:b w:val="0"/>
                <w:sz w:val="20"/>
              </w:rPr>
            </w:pPr>
            <w:r>
              <w:rPr>
                <w:rFonts w:ascii="Bookman Old Style"/>
                <w:b w:val="0"/>
                <w:w w:val="50"/>
                <w:sz w:val="20"/>
              </w:rPr>
              <w:t>500</w:t>
            </w:r>
          </w:p>
        </w:tc>
        <w:tc>
          <w:tcPr>
            <w:tcW w:w="627" w:type="dxa"/>
          </w:tcPr>
          <w:p>
            <w:pPr>
              <w:pStyle w:val="TableParagraph"/>
              <w:spacing w:line="233" w:lineRule="exact"/>
              <w:ind w:right="64"/>
              <w:jc w:val="right"/>
              <w:rPr>
                <w:rFonts w:ascii="Bookman Old Style"/>
                <w:b w:val="0"/>
                <w:sz w:val="20"/>
              </w:rPr>
            </w:pPr>
            <w:r>
              <w:rPr>
                <w:rFonts w:ascii="Bookman Old Style"/>
                <w:b w:val="0"/>
                <w:w w:val="50"/>
                <w:sz w:val="20"/>
              </w:rPr>
              <w:t>500</w:t>
            </w:r>
          </w:p>
        </w:tc>
        <w:tc>
          <w:tcPr>
            <w:tcW w:w="1001" w:type="dxa"/>
          </w:tcPr>
          <w:p>
            <w:pPr>
              <w:pStyle w:val="TableParagraph"/>
              <w:spacing w:before="5"/>
              <w:ind w:right="64"/>
              <w:jc w:val="right"/>
              <w:rPr>
                <w:rFonts w:ascii="Times New Roman"/>
                <w:b/>
                <w:sz w:val="20"/>
              </w:rPr>
            </w:pPr>
            <w:r>
              <w:rPr>
                <w:rFonts w:ascii="Times New Roman"/>
                <w:b/>
                <w:w w:val="65"/>
                <w:sz w:val="20"/>
              </w:rPr>
              <w:t>165500</w:t>
            </w:r>
          </w:p>
        </w:tc>
      </w:tr>
      <w:tr>
        <w:trPr>
          <w:trHeight w:val="278" w:hRule="atLeast"/>
        </w:trPr>
        <w:tc>
          <w:tcPr>
            <w:tcW w:w="1042" w:type="dxa"/>
            <w:vMerge w:val="restart"/>
          </w:tcPr>
          <w:p>
            <w:pPr>
              <w:pStyle w:val="TableParagraph"/>
              <w:spacing w:line="209" w:lineRule="exact"/>
              <w:ind w:left="69"/>
              <w:rPr>
                <w:rFonts w:ascii="Bookman Old Style"/>
                <w:b w:val="0"/>
                <w:sz w:val="18"/>
              </w:rPr>
            </w:pPr>
            <w:r>
              <w:rPr>
                <w:rFonts w:ascii="Bookman Old Style"/>
                <w:b w:val="0"/>
                <w:w w:val="65"/>
                <w:sz w:val="18"/>
              </w:rPr>
              <w:t>R.2.</w:t>
            </w: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smallCaps/>
                <w:w w:val="53"/>
                <w:sz w:val="18"/>
              </w:rPr>
              <w:t>4</w:t>
            </w:r>
          </w:p>
        </w:tc>
        <w:tc>
          <w:tcPr>
            <w:tcW w:w="499" w:type="dxa"/>
          </w:tcPr>
          <w:p>
            <w:pPr>
              <w:pStyle w:val="TableParagraph"/>
              <w:spacing w:line="233" w:lineRule="exact"/>
              <w:ind w:right="59"/>
              <w:jc w:val="right"/>
              <w:rPr>
                <w:rFonts w:ascii="Bookman Old Style"/>
                <w:b w:val="0"/>
                <w:sz w:val="20"/>
              </w:rPr>
            </w:pPr>
            <w:r>
              <w:rPr>
                <w:rFonts w:ascii="Bookman Old Style"/>
                <w:b w:val="0"/>
                <w:w w:val="50"/>
                <w:sz w:val="20"/>
              </w:rPr>
              <w:t>5000</w:t>
            </w: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5000</w:t>
            </w:r>
          </w:p>
        </w:tc>
      </w:tr>
      <w:tr>
        <w:trPr>
          <w:trHeight w:val="275" w:hRule="atLeast"/>
        </w:trPr>
        <w:tc>
          <w:tcPr>
            <w:tcW w:w="1042" w:type="dxa"/>
            <w:vMerge/>
            <w:tcBorders>
              <w:top w:val="nil"/>
            </w:tcBorders>
          </w:tcPr>
          <w:p>
            <w:pPr>
              <w:rPr>
                <w:sz w:val="2"/>
                <w:szCs w:val="2"/>
              </w:rPr>
            </w:pPr>
          </w:p>
        </w:tc>
        <w:tc>
          <w:tcPr>
            <w:tcW w:w="840" w:type="dxa"/>
            <w:shd w:val="clear" w:color="auto" w:fill="E1EEDA"/>
          </w:tcPr>
          <w:p>
            <w:pPr>
              <w:pStyle w:val="TableParagraph"/>
              <w:rPr>
                <w:rFonts w:ascii="Times New Roman"/>
                <w:sz w:val="20"/>
              </w:rPr>
            </w:pPr>
          </w:p>
        </w:tc>
        <w:tc>
          <w:tcPr>
            <w:tcW w:w="499" w:type="dxa"/>
          </w:tcPr>
          <w:p>
            <w:pPr>
              <w:pStyle w:val="TableParagraph"/>
              <w:spacing w:line="233" w:lineRule="exact"/>
              <w:ind w:right="59"/>
              <w:jc w:val="right"/>
              <w:rPr>
                <w:rFonts w:ascii="Bookman Old Style"/>
                <w:b w:val="0"/>
                <w:sz w:val="20"/>
              </w:rPr>
            </w:pPr>
            <w:r>
              <w:rPr>
                <w:rFonts w:ascii="Bookman Old Style"/>
                <w:b w:val="0"/>
                <w:w w:val="50"/>
                <w:sz w:val="20"/>
              </w:rPr>
              <w:t>10000</w:t>
            </w:r>
          </w:p>
        </w:tc>
        <w:tc>
          <w:tcPr>
            <w:tcW w:w="602" w:type="dxa"/>
          </w:tcPr>
          <w:p>
            <w:pPr>
              <w:pStyle w:val="TableParagraph"/>
              <w:spacing w:line="233" w:lineRule="exact"/>
              <w:ind w:right="61"/>
              <w:jc w:val="right"/>
              <w:rPr>
                <w:rFonts w:ascii="Bookman Old Style"/>
                <w:b w:val="0"/>
                <w:sz w:val="20"/>
              </w:rPr>
            </w:pPr>
            <w:r>
              <w:rPr>
                <w:rFonts w:ascii="Bookman Old Style"/>
                <w:b w:val="0"/>
                <w:w w:val="50"/>
                <w:sz w:val="20"/>
              </w:rPr>
              <w:t>20000</w:t>
            </w: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30000</w:t>
            </w:r>
          </w:p>
        </w:tc>
      </w:tr>
      <w:tr>
        <w:trPr>
          <w:trHeight w:val="287"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w w:val="53"/>
                <w:sz w:val="18"/>
              </w:rPr>
              <w:t>5</w:t>
            </w: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spacing w:line="233" w:lineRule="exact"/>
              <w:ind w:right="62"/>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spacing w:line="233" w:lineRule="exact"/>
              <w:ind w:right="59"/>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spacing w:line="233" w:lineRule="exact"/>
              <w:ind w:right="60"/>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1001" w:type="dxa"/>
          </w:tcPr>
          <w:p>
            <w:pPr>
              <w:pStyle w:val="TableParagraph"/>
              <w:spacing w:before="5"/>
              <w:ind w:right="65"/>
              <w:jc w:val="right"/>
              <w:rPr>
                <w:rFonts w:ascii="Times New Roman"/>
                <w:b/>
                <w:sz w:val="20"/>
              </w:rPr>
            </w:pPr>
            <w:r>
              <w:rPr>
                <w:rFonts w:ascii="Times New Roman"/>
                <w:b/>
                <w:w w:val="65"/>
                <w:sz w:val="20"/>
              </w:rPr>
              <w:t>20000000</w:t>
            </w:r>
          </w:p>
        </w:tc>
      </w:tr>
      <w:tr>
        <w:trPr>
          <w:trHeight w:val="330" w:hRule="atLeast"/>
        </w:trPr>
        <w:tc>
          <w:tcPr>
            <w:tcW w:w="1042" w:type="dxa"/>
            <w:vMerge/>
            <w:tcBorders>
              <w:top w:val="nil"/>
            </w:tcBorders>
          </w:tcPr>
          <w:p>
            <w:pPr>
              <w:rPr>
                <w:sz w:val="2"/>
                <w:szCs w:val="2"/>
              </w:rPr>
            </w:pPr>
          </w:p>
        </w:tc>
        <w:tc>
          <w:tcPr>
            <w:tcW w:w="840" w:type="dxa"/>
            <w:shd w:val="clear" w:color="auto" w:fill="E1EEDA"/>
          </w:tcPr>
          <w:p>
            <w:pPr>
              <w:pStyle w:val="TableParagraph"/>
              <w:ind w:left="1"/>
              <w:jc w:val="center"/>
              <w:rPr>
                <w:rFonts w:ascii="Bookman Old Style"/>
                <w:b w:val="0"/>
                <w:sz w:val="18"/>
              </w:rPr>
            </w:pPr>
            <w:r>
              <w:rPr>
                <w:rFonts w:ascii="Bookman Old Style"/>
                <w:b w:val="0"/>
                <w:w w:val="53"/>
                <w:sz w:val="18"/>
              </w:rPr>
              <w:t>6</w:t>
            </w: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spacing w:before="1"/>
              <w:ind w:right="61"/>
              <w:jc w:val="right"/>
              <w:rPr>
                <w:rFonts w:ascii="Bookman Old Style"/>
                <w:b w:val="0"/>
                <w:sz w:val="20"/>
              </w:rPr>
            </w:pPr>
            <w:r>
              <w:rPr>
                <w:rFonts w:ascii="Bookman Old Style"/>
                <w:b w:val="0"/>
                <w:w w:val="50"/>
                <w:sz w:val="20"/>
              </w:rPr>
              <w:t>2000</w:t>
            </w:r>
          </w:p>
        </w:tc>
        <w:tc>
          <w:tcPr>
            <w:tcW w:w="535" w:type="dxa"/>
          </w:tcPr>
          <w:p>
            <w:pPr>
              <w:pStyle w:val="TableParagraph"/>
              <w:spacing w:before="1"/>
              <w:ind w:left="163" w:right="23"/>
              <w:jc w:val="center"/>
              <w:rPr>
                <w:rFonts w:ascii="Bookman Old Style"/>
                <w:b w:val="0"/>
                <w:sz w:val="20"/>
              </w:rPr>
            </w:pPr>
            <w:r>
              <w:rPr>
                <w:rFonts w:ascii="Bookman Old Style"/>
                <w:b w:val="0"/>
                <w:w w:val="60"/>
                <w:sz w:val="20"/>
              </w:rPr>
              <w:t>5000</w:t>
            </w:r>
          </w:p>
        </w:tc>
        <w:tc>
          <w:tcPr>
            <w:tcW w:w="473" w:type="dxa"/>
          </w:tcPr>
          <w:p>
            <w:pPr>
              <w:pStyle w:val="TableParagraph"/>
              <w:spacing w:before="1"/>
              <w:ind w:left="32" w:right="26"/>
              <w:jc w:val="center"/>
              <w:rPr>
                <w:rFonts w:ascii="Bookman Old Style"/>
                <w:b w:val="0"/>
                <w:sz w:val="20"/>
              </w:rPr>
            </w:pPr>
            <w:r>
              <w:rPr>
                <w:rFonts w:ascii="Bookman Old Style"/>
                <w:b w:val="0"/>
                <w:w w:val="55"/>
                <w:sz w:val="20"/>
              </w:rPr>
              <w:t>10000</w:t>
            </w: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spacing w:before="1"/>
              <w:ind w:right="61"/>
              <w:jc w:val="right"/>
              <w:rPr>
                <w:rFonts w:ascii="Bookman Old Style"/>
                <w:b w:val="0"/>
                <w:sz w:val="20"/>
              </w:rPr>
            </w:pPr>
            <w:r>
              <w:rPr>
                <w:rFonts w:ascii="Bookman Old Style"/>
                <w:b w:val="0"/>
                <w:w w:val="50"/>
                <w:sz w:val="20"/>
              </w:rPr>
              <w:t>2000</w:t>
            </w:r>
          </w:p>
        </w:tc>
        <w:tc>
          <w:tcPr>
            <w:tcW w:w="603" w:type="dxa"/>
          </w:tcPr>
          <w:p>
            <w:pPr>
              <w:pStyle w:val="TableParagraph"/>
              <w:spacing w:before="1"/>
              <w:ind w:right="59"/>
              <w:jc w:val="right"/>
              <w:rPr>
                <w:rFonts w:ascii="Bookman Old Style"/>
                <w:b w:val="0"/>
                <w:sz w:val="20"/>
              </w:rPr>
            </w:pPr>
            <w:r>
              <w:rPr>
                <w:rFonts w:ascii="Bookman Old Style"/>
                <w:b w:val="0"/>
                <w:w w:val="50"/>
                <w:sz w:val="20"/>
              </w:rPr>
              <w:t>5000</w:t>
            </w:r>
          </w:p>
        </w:tc>
        <w:tc>
          <w:tcPr>
            <w:tcW w:w="603" w:type="dxa"/>
          </w:tcPr>
          <w:p>
            <w:pPr>
              <w:pStyle w:val="TableParagraph"/>
              <w:spacing w:before="1"/>
              <w:ind w:right="60"/>
              <w:jc w:val="right"/>
              <w:rPr>
                <w:rFonts w:ascii="Bookman Old Style"/>
                <w:b w:val="0"/>
                <w:sz w:val="20"/>
              </w:rPr>
            </w:pPr>
            <w:r>
              <w:rPr>
                <w:rFonts w:ascii="Bookman Old Style"/>
                <w:b w:val="0"/>
                <w:w w:val="50"/>
                <w:sz w:val="20"/>
              </w:rPr>
              <w:t>10000</w:t>
            </w: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7"/>
              <w:ind w:right="64"/>
              <w:jc w:val="right"/>
              <w:rPr>
                <w:rFonts w:ascii="Times New Roman"/>
                <w:b/>
                <w:sz w:val="20"/>
              </w:rPr>
            </w:pPr>
            <w:r>
              <w:rPr>
                <w:rFonts w:ascii="Times New Roman"/>
                <w:b/>
                <w:w w:val="65"/>
                <w:sz w:val="20"/>
              </w:rPr>
              <w:t>34000</w:t>
            </w:r>
          </w:p>
        </w:tc>
      </w:tr>
      <w:tr>
        <w:trPr>
          <w:trHeight w:val="316" w:hRule="atLeast"/>
        </w:trPr>
        <w:tc>
          <w:tcPr>
            <w:tcW w:w="1042" w:type="dxa"/>
            <w:vMerge/>
            <w:tcBorders>
              <w:top w:val="nil"/>
            </w:tcBorders>
          </w:tcPr>
          <w:p>
            <w:pPr>
              <w:rPr>
                <w:sz w:val="2"/>
                <w:szCs w:val="2"/>
              </w:rPr>
            </w:pPr>
          </w:p>
        </w:tc>
        <w:tc>
          <w:tcPr>
            <w:tcW w:w="840" w:type="dxa"/>
            <w:shd w:val="clear" w:color="auto" w:fill="E1EEDA"/>
          </w:tcPr>
          <w:p>
            <w:pPr>
              <w:pStyle w:val="TableParagraph"/>
              <w:rPr>
                <w:rFonts w:ascii="Times New Roman"/>
                <w:sz w:val="20"/>
              </w:rPr>
            </w:pP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spacing w:line="233" w:lineRule="exact"/>
              <w:ind w:right="59"/>
              <w:jc w:val="right"/>
              <w:rPr>
                <w:rFonts w:ascii="Bookman Old Style"/>
                <w:b w:val="0"/>
                <w:sz w:val="20"/>
              </w:rPr>
            </w:pPr>
            <w:r>
              <w:rPr>
                <w:rFonts w:ascii="Bookman Old Style"/>
                <w:b w:val="0"/>
                <w:w w:val="50"/>
                <w:sz w:val="20"/>
              </w:rPr>
              <w:t>50000</w:t>
            </w:r>
          </w:p>
        </w:tc>
        <w:tc>
          <w:tcPr>
            <w:tcW w:w="602" w:type="dxa"/>
          </w:tcPr>
          <w:p>
            <w:pPr>
              <w:pStyle w:val="TableParagraph"/>
              <w:spacing w:line="233" w:lineRule="exact"/>
              <w:ind w:right="59"/>
              <w:jc w:val="right"/>
              <w:rPr>
                <w:rFonts w:ascii="Bookman Old Style"/>
                <w:b w:val="0"/>
                <w:sz w:val="20"/>
              </w:rPr>
            </w:pPr>
            <w:r>
              <w:rPr>
                <w:rFonts w:ascii="Bookman Old Style"/>
                <w:b w:val="0"/>
                <w:w w:val="50"/>
                <w:sz w:val="20"/>
              </w:rPr>
              <w:t>2000000</w:t>
            </w: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300000</w:t>
            </w: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250000</w:t>
            </w:r>
          </w:p>
        </w:tc>
        <w:tc>
          <w:tcPr>
            <w:tcW w:w="603" w:type="dxa"/>
          </w:tcPr>
          <w:p>
            <w:pPr>
              <w:pStyle w:val="TableParagraph"/>
              <w:spacing w:line="233" w:lineRule="exact"/>
              <w:ind w:right="59"/>
              <w:jc w:val="right"/>
              <w:rPr>
                <w:rFonts w:ascii="Bookman Old Style"/>
                <w:b w:val="0"/>
                <w:sz w:val="20"/>
              </w:rPr>
            </w:pPr>
            <w:r>
              <w:rPr>
                <w:rFonts w:ascii="Bookman Old Style"/>
                <w:b w:val="0"/>
                <w:w w:val="50"/>
                <w:sz w:val="20"/>
              </w:rPr>
              <w:t>650000</w:t>
            </w:r>
          </w:p>
        </w:tc>
        <w:tc>
          <w:tcPr>
            <w:tcW w:w="603" w:type="dxa"/>
          </w:tcPr>
          <w:p>
            <w:pPr>
              <w:pStyle w:val="TableParagraph"/>
              <w:spacing w:line="233" w:lineRule="exact"/>
              <w:ind w:right="60"/>
              <w:jc w:val="right"/>
              <w:rPr>
                <w:rFonts w:ascii="Bookman Old Style"/>
                <w:b w:val="0"/>
                <w:sz w:val="20"/>
              </w:rPr>
            </w:pPr>
            <w:r>
              <w:rPr>
                <w:rFonts w:ascii="Bookman Old Style"/>
                <w:b w:val="0"/>
                <w:w w:val="50"/>
                <w:sz w:val="20"/>
              </w:rPr>
              <w:t>3000000</w:t>
            </w:r>
          </w:p>
        </w:tc>
        <w:tc>
          <w:tcPr>
            <w:tcW w:w="538" w:type="dxa"/>
          </w:tcPr>
          <w:p>
            <w:pPr>
              <w:pStyle w:val="TableParagraph"/>
              <w:spacing w:line="233" w:lineRule="exact"/>
              <w:ind w:right="63"/>
              <w:jc w:val="right"/>
              <w:rPr>
                <w:rFonts w:ascii="Bookman Old Style"/>
                <w:b w:val="0"/>
                <w:sz w:val="20"/>
              </w:rPr>
            </w:pPr>
            <w:r>
              <w:rPr>
                <w:rFonts w:ascii="Bookman Old Style"/>
                <w:b w:val="0"/>
                <w:w w:val="50"/>
                <w:sz w:val="20"/>
              </w:rPr>
              <w:t>500000</w:t>
            </w:r>
          </w:p>
        </w:tc>
        <w:tc>
          <w:tcPr>
            <w:tcW w:w="538" w:type="dxa"/>
          </w:tcPr>
          <w:p>
            <w:pPr>
              <w:pStyle w:val="TableParagraph"/>
              <w:spacing w:line="233" w:lineRule="exact"/>
              <w:ind w:left="30" w:right="28"/>
              <w:jc w:val="center"/>
              <w:rPr>
                <w:rFonts w:ascii="Bookman Old Style"/>
                <w:b w:val="0"/>
                <w:sz w:val="20"/>
              </w:rPr>
            </w:pPr>
            <w:r>
              <w:rPr>
                <w:rFonts w:ascii="Bookman Old Style"/>
                <w:b w:val="0"/>
                <w:w w:val="55"/>
                <w:sz w:val="20"/>
              </w:rPr>
              <w:t>250000</w:t>
            </w:r>
          </w:p>
        </w:tc>
        <w:tc>
          <w:tcPr>
            <w:tcW w:w="539" w:type="dxa"/>
          </w:tcPr>
          <w:p>
            <w:pPr>
              <w:pStyle w:val="TableParagraph"/>
              <w:spacing w:line="233" w:lineRule="exact"/>
              <w:ind w:right="64"/>
              <w:jc w:val="right"/>
              <w:rPr>
                <w:rFonts w:ascii="Bookman Old Style"/>
                <w:b w:val="0"/>
                <w:sz w:val="20"/>
              </w:rPr>
            </w:pPr>
            <w:r>
              <w:rPr>
                <w:rFonts w:ascii="Bookman Old Style"/>
                <w:b w:val="0"/>
                <w:w w:val="50"/>
                <w:sz w:val="20"/>
              </w:rPr>
              <w:t>100000</w:t>
            </w:r>
          </w:p>
        </w:tc>
        <w:tc>
          <w:tcPr>
            <w:tcW w:w="603"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8" w:type="dxa"/>
          </w:tcPr>
          <w:p>
            <w:pPr>
              <w:pStyle w:val="TableParagraph"/>
              <w:spacing w:line="233" w:lineRule="exact"/>
              <w:ind w:right="65"/>
              <w:jc w:val="right"/>
              <w:rPr>
                <w:rFonts w:ascii="Bookman Old Style"/>
                <w:b w:val="0"/>
                <w:sz w:val="20"/>
              </w:rPr>
            </w:pPr>
            <w:r>
              <w:rPr>
                <w:rFonts w:ascii="Bookman Old Style"/>
                <w:b w:val="0"/>
                <w:w w:val="50"/>
                <w:sz w:val="20"/>
              </w:rPr>
              <w:t>500000</w:t>
            </w:r>
          </w:p>
        </w:tc>
        <w:tc>
          <w:tcPr>
            <w:tcW w:w="536" w:type="dxa"/>
          </w:tcPr>
          <w:p>
            <w:pPr>
              <w:pStyle w:val="TableParagraph"/>
              <w:spacing w:line="233" w:lineRule="exact"/>
              <w:ind w:right="66"/>
              <w:jc w:val="right"/>
              <w:rPr>
                <w:rFonts w:ascii="Bookman Old Style"/>
                <w:b w:val="0"/>
                <w:sz w:val="20"/>
              </w:rPr>
            </w:pPr>
            <w:r>
              <w:rPr>
                <w:rFonts w:ascii="Bookman Old Style"/>
                <w:b w:val="0"/>
                <w:w w:val="50"/>
                <w:sz w:val="20"/>
              </w:rPr>
              <w:t>100000</w:t>
            </w:r>
          </w:p>
        </w:tc>
        <w:tc>
          <w:tcPr>
            <w:tcW w:w="538" w:type="dxa"/>
          </w:tcPr>
          <w:p>
            <w:pPr>
              <w:pStyle w:val="TableParagraph"/>
              <w:spacing w:line="233" w:lineRule="exact"/>
              <w:ind w:right="66"/>
              <w:jc w:val="right"/>
              <w:rPr>
                <w:rFonts w:ascii="Bookman Old Style"/>
                <w:b w:val="0"/>
                <w:sz w:val="20"/>
              </w:rPr>
            </w:pPr>
            <w:r>
              <w:rPr>
                <w:rFonts w:ascii="Bookman Old Style"/>
                <w:b w:val="0"/>
                <w:w w:val="50"/>
                <w:sz w:val="20"/>
              </w:rPr>
              <w:t>300000</w:t>
            </w:r>
          </w:p>
        </w:tc>
        <w:tc>
          <w:tcPr>
            <w:tcW w:w="627"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1001" w:type="dxa"/>
          </w:tcPr>
          <w:p>
            <w:pPr>
              <w:pStyle w:val="TableParagraph"/>
              <w:spacing w:before="5"/>
              <w:ind w:right="65"/>
              <w:jc w:val="right"/>
              <w:rPr>
                <w:rFonts w:ascii="Times New Roman"/>
                <w:b/>
                <w:sz w:val="20"/>
              </w:rPr>
            </w:pPr>
            <w:r>
              <w:rPr>
                <w:rFonts w:ascii="Times New Roman"/>
                <w:b/>
                <w:w w:val="65"/>
                <w:sz w:val="20"/>
              </w:rPr>
              <w:t>16000000</w:t>
            </w:r>
          </w:p>
        </w:tc>
      </w:tr>
      <w:tr>
        <w:trPr>
          <w:trHeight w:val="299"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w w:val="53"/>
                <w:sz w:val="18"/>
              </w:rPr>
              <w:t>7</w:t>
            </w: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spacing w:line="233" w:lineRule="exact"/>
              <w:ind w:right="61"/>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40000</w:t>
            </w:r>
          </w:p>
        </w:tc>
      </w:tr>
      <w:tr>
        <w:trPr>
          <w:trHeight w:val="278" w:hRule="atLeast"/>
        </w:trPr>
        <w:tc>
          <w:tcPr>
            <w:tcW w:w="1042" w:type="dxa"/>
            <w:vMerge/>
            <w:tcBorders>
              <w:top w:val="nil"/>
            </w:tcBorders>
          </w:tcPr>
          <w:p>
            <w:pPr>
              <w:rPr>
                <w:sz w:val="2"/>
                <w:szCs w:val="2"/>
              </w:rPr>
            </w:pPr>
          </w:p>
        </w:tc>
        <w:tc>
          <w:tcPr>
            <w:tcW w:w="840" w:type="dxa"/>
            <w:shd w:val="clear" w:color="auto" w:fill="E1EEDA"/>
          </w:tcPr>
          <w:p>
            <w:pPr>
              <w:pStyle w:val="TableParagraph"/>
              <w:rPr>
                <w:rFonts w:ascii="Times New Roman"/>
                <w:sz w:val="20"/>
              </w:rPr>
            </w:pP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spacing w:line="233" w:lineRule="exact"/>
              <w:ind w:right="61"/>
              <w:jc w:val="right"/>
              <w:rPr>
                <w:rFonts w:ascii="Bookman Old Style"/>
                <w:b w:val="0"/>
                <w:sz w:val="20"/>
              </w:rPr>
            </w:pPr>
            <w:r>
              <w:rPr>
                <w:rFonts w:ascii="Bookman Old Style"/>
                <w:b w:val="0"/>
                <w:w w:val="50"/>
                <w:sz w:val="20"/>
              </w:rPr>
              <w:t>10000</w:t>
            </w:r>
          </w:p>
        </w:tc>
        <w:tc>
          <w:tcPr>
            <w:tcW w:w="535" w:type="dxa"/>
          </w:tcPr>
          <w:p>
            <w:pPr>
              <w:pStyle w:val="TableParagraph"/>
              <w:spacing w:line="233" w:lineRule="exact"/>
              <w:ind w:left="96" w:right="23"/>
              <w:jc w:val="center"/>
              <w:rPr>
                <w:rFonts w:ascii="Bookman Old Style"/>
                <w:b w:val="0"/>
                <w:sz w:val="20"/>
              </w:rPr>
            </w:pPr>
            <w:r>
              <w:rPr>
                <w:rFonts w:ascii="Bookman Old Style"/>
                <w:b w:val="0"/>
                <w:w w:val="55"/>
                <w:sz w:val="20"/>
              </w:rPr>
              <w:t>35000</w:t>
            </w:r>
          </w:p>
        </w:tc>
        <w:tc>
          <w:tcPr>
            <w:tcW w:w="473" w:type="dxa"/>
          </w:tcPr>
          <w:p>
            <w:pPr>
              <w:pStyle w:val="TableParagraph"/>
              <w:spacing w:line="233" w:lineRule="exact"/>
              <w:ind w:left="32" w:right="26"/>
              <w:jc w:val="center"/>
              <w:rPr>
                <w:rFonts w:ascii="Bookman Old Style"/>
                <w:b w:val="0"/>
                <w:sz w:val="20"/>
              </w:rPr>
            </w:pPr>
            <w:r>
              <w:rPr>
                <w:rFonts w:ascii="Bookman Old Style"/>
                <w:b w:val="0"/>
                <w:w w:val="55"/>
                <w:sz w:val="20"/>
              </w:rPr>
              <w:t>25000</w:t>
            </w:r>
          </w:p>
        </w:tc>
        <w:tc>
          <w:tcPr>
            <w:tcW w:w="607" w:type="dxa"/>
          </w:tcPr>
          <w:p>
            <w:pPr>
              <w:pStyle w:val="TableParagraph"/>
              <w:spacing w:line="233" w:lineRule="exact"/>
              <w:ind w:right="59"/>
              <w:jc w:val="right"/>
              <w:rPr>
                <w:rFonts w:ascii="Bookman Old Style"/>
                <w:b w:val="0"/>
                <w:sz w:val="20"/>
              </w:rPr>
            </w:pPr>
            <w:r>
              <w:rPr>
                <w:rFonts w:ascii="Bookman Old Style"/>
                <w:b w:val="0"/>
                <w:w w:val="50"/>
                <w:sz w:val="20"/>
              </w:rPr>
              <w:t>10000</w:t>
            </w:r>
          </w:p>
        </w:tc>
        <w:tc>
          <w:tcPr>
            <w:tcW w:w="602" w:type="dxa"/>
          </w:tcPr>
          <w:p>
            <w:pPr>
              <w:pStyle w:val="TableParagraph"/>
              <w:spacing w:line="233" w:lineRule="exact"/>
              <w:ind w:right="58"/>
              <w:jc w:val="right"/>
              <w:rPr>
                <w:rFonts w:ascii="Bookman Old Style"/>
                <w:b w:val="0"/>
                <w:sz w:val="20"/>
              </w:rPr>
            </w:pPr>
            <w:r>
              <w:rPr>
                <w:rFonts w:ascii="Bookman Old Style"/>
                <w:b w:val="0"/>
                <w:w w:val="50"/>
                <w:sz w:val="20"/>
              </w:rPr>
              <w:t>20000</w:t>
            </w:r>
          </w:p>
        </w:tc>
        <w:tc>
          <w:tcPr>
            <w:tcW w:w="538" w:type="dxa"/>
          </w:tcPr>
          <w:p>
            <w:pPr>
              <w:pStyle w:val="TableParagraph"/>
              <w:spacing w:line="233" w:lineRule="exact"/>
              <w:ind w:right="61"/>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25000</w:t>
            </w:r>
          </w:p>
        </w:tc>
        <w:tc>
          <w:tcPr>
            <w:tcW w:w="603" w:type="dxa"/>
          </w:tcPr>
          <w:p>
            <w:pPr>
              <w:pStyle w:val="TableParagraph"/>
              <w:spacing w:line="233" w:lineRule="exact"/>
              <w:ind w:right="59"/>
              <w:jc w:val="right"/>
              <w:rPr>
                <w:rFonts w:ascii="Bookman Old Style"/>
                <w:b w:val="0"/>
                <w:sz w:val="20"/>
              </w:rPr>
            </w:pPr>
            <w:r>
              <w:rPr>
                <w:rFonts w:ascii="Bookman Old Style"/>
                <w:b w:val="0"/>
                <w:w w:val="50"/>
                <w:sz w:val="20"/>
              </w:rPr>
              <w:t>30000</w:t>
            </w:r>
          </w:p>
        </w:tc>
        <w:tc>
          <w:tcPr>
            <w:tcW w:w="603" w:type="dxa"/>
          </w:tcPr>
          <w:p>
            <w:pPr>
              <w:pStyle w:val="TableParagraph"/>
              <w:spacing w:line="233" w:lineRule="exact"/>
              <w:ind w:right="60"/>
              <w:jc w:val="right"/>
              <w:rPr>
                <w:rFonts w:ascii="Bookman Old Style"/>
                <w:b w:val="0"/>
                <w:sz w:val="20"/>
              </w:rPr>
            </w:pPr>
            <w:r>
              <w:rPr>
                <w:rFonts w:ascii="Bookman Old Style"/>
                <w:b w:val="0"/>
                <w:w w:val="50"/>
                <w:sz w:val="20"/>
              </w:rPr>
              <w:t>32000</w:t>
            </w:r>
          </w:p>
        </w:tc>
        <w:tc>
          <w:tcPr>
            <w:tcW w:w="538" w:type="dxa"/>
          </w:tcPr>
          <w:p>
            <w:pPr>
              <w:pStyle w:val="TableParagraph"/>
              <w:spacing w:line="233" w:lineRule="exact"/>
              <w:ind w:right="63"/>
              <w:jc w:val="right"/>
              <w:rPr>
                <w:rFonts w:ascii="Bookman Old Style"/>
                <w:b w:val="0"/>
                <w:sz w:val="20"/>
              </w:rPr>
            </w:pPr>
            <w:r>
              <w:rPr>
                <w:rFonts w:ascii="Bookman Old Style"/>
                <w:b w:val="0"/>
                <w:spacing w:val="-2"/>
                <w:w w:val="53"/>
                <w:sz w:val="20"/>
              </w:rPr>
              <w:t>3</w:t>
            </w:r>
            <w:r>
              <w:rPr>
                <w:rFonts w:ascii="Bookman Old Style"/>
                <w:b w:val="0"/>
                <w:smallCaps/>
                <w:spacing w:val="1"/>
                <w:w w:val="53"/>
                <w:sz w:val="20"/>
              </w:rPr>
              <w:t>8</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8" w:type="dxa"/>
          </w:tcPr>
          <w:p>
            <w:pPr>
              <w:pStyle w:val="TableParagraph"/>
              <w:spacing w:line="233" w:lineRule="exact"/>
              <w:ind w:left="95" w:right="28"/>
              <w:jc w:val="center"/>
              <w:rPr>
                <w:rFonts w:ascii="Bookman Old Style"/>
                <w:b w:val="0"/>
                <w:sz w:val="20"/>
              </w:rPr>
            </w:pPr>
            <w:r>
              <w:rPr>
                <w:rFonts w:ascii="Bookman Old Style"/>
                <w:b w:val="0"/>
                <w:w w:val="55"/>
                <w:sz w:val="20"/>
              </w:rPr>
              <w:t>35000</w:t>
            </w:r>
          </w:p>
        </w:tc>
        <w:tc>
          <w:tcPr>
            <w:tcW w:w="539" w:type="dxa"/>
          </w:tcPr>
          <w:p>
            <w:pPr>
              <w:pStyle w:val="TableParagraph"/>
              <w:spacing w:line="233" w:lineRule="exact"/>
              <w:ind w:right="64"/>
              <w:jc w:val="right"/>
              <w:rPr>
                <w:rFonts w:ascii="Bookman Old Style"/>
                <w:b w:val="0"/>
                <w:sz w:val="20"/>
              </w:rPr>
            </w:pPr>
            <w:r>
              <w:rPr>
                <w:rFonts w:ascii="Bookman Old Style"/>
                <w:b w:val="0"/>
                <w:w w:val="50"/>
                <w:sz w:val="20"/>
              </w:rPr>
              <w:t>32000</w:t>
            </w: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35000</w:t>
            </w:r>
          </w:p>
        </w:tc>
        <w:tc>
          <w:tcPr>
            <w:tcW w:w="538"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536" w:type="dxa"/>
          </w:tcPr>
          <w:p>
            <w:pPr>
              <w:pStyle w:val="TableParagraph"/>
              <w:spacing w:line="233" w:lineRule="exact"/>
              <w:ind w:right="66"/>
              <w:jc w:val="right"/>
              <w:rPr>
                <w:rFonts w:ascii="Bookman Old Style"/>
                <w:b w:val="0"/>
                <w:sz w:val="20"/>
              </w:rPr>
            </w:pPr>
            <w:r>
              <w:rPr>
                <w:rFonts w:ascii="Bookman Old Style"/>
                <w:b w:val="0"/>
                <w:w w:val="50"/>
                <w:sz w:val="20"/>
              </w:rPr>
              <w:t>35000</w:t>
            </w:r>
          </w:p>
        </w:tc>
        <w:tc>
          <w:tcPr>
            <w:tcW w:w="538" w:type="dxa"/>
          </w:tcPr>
          <w:p>
            <w:pPr>
              <w:pStyle w:val="TableParagraph"/>
              <w:spacing w:line="233" w:lineRule="exact"/>
              <w:ind w:right="66"/>
              <w:jc w:val="right"/>
              <w:rPr>
                <w:rFonts w:ascii="Bookman Old Style"/>
                <w:b w:val="0"/>
                <w:sz w:val="20"/>
              </w:rPr>
            </w:pPr>
            <w:r>
              <w:rPr>
                <w:rFonts w:ascii="Bookman Old Style"/>
                <w:b w:val="0"/>
                <w:w w:val="50"/>
                <w:sz w:val="20"/>
              </w:rPr>
              <w:t>35000</w:t>
            </w:r>
          </w:p>
        </w:tc>
        <w:tc>
          <w:tcPr>
            <w:tcW w:w="627" w:type="dxa"/>
          </w:tcPr>
          <w:p>
            <w:pPr>
              <w:pStyle w:val="TableParagraph"/>
              <w:spacing w:line="233" w:lineRule="exact"/>
              <w:ind w:right="64"/>
              <w:jc w:val="right"/>
              <w:rPr>
                <w:rFonts w:ascii="Bookman Old Style"/>
                <w:b w:val="0"/>
                <w:sz w:val="20"/>
              </w:rPr>
            </w:pPr>
            <w:r>
              <w:rPr>
                <w:rFonts w:ascii="Bookman Old Style"/>
                <w:b w:val="0"/>
                <w:w w:val="50"/>
                <w:sz w:val="20"/>
              </w:rPr>
              <w:t>30000</w:t>
            </w:r>
          </w:p>
        </w:tc>
        <w:tc>
          <w:tcPr>
            <w:tcW w:w="1001" w:type="dxa"/>
          </w:tcPr>
          <w:p>
            <w:pPr>
              <w:pStyle w:val="TableParagraph"/>
              <w:spacing w:before="5"/>
              <w:ind w:right="64"/>
              <w:jc w:val="right"/>
              <w:rPr>
                <w:rFonts w:ascii="Times New Roman"/>
                <w:b/>
                <w:sz w:val="20"/>
              </w:rPr>
            </w:pPr>
            <w:r>
              <w:rPr>
                <w:rFonts w:ascii="Times New Roman"/>
                <w:b/>
                <w:w w:val="65"/>
                <w:sz w:val="20"/>
              </w:rPr>
              <w:t>507000</w:t>
            </w:r>
          </w:p>
        </w:tc>
      </w:tr>
      <w:tr>
        <w:trPr>
          <w:trHeight w:val="275" w:hRule="atLeast"/>
        </w:trPr>
        <w:tc>
          <w:tcPr>
            <w:tcW w:w="1042" w:type="dxa"/>
            <w:vMerge w:val="restart"/>
          </w:tcPr>
          <w:p>
            <w:pPr>
              <w:pStyle w:val="TableParagraph"/>
              <w:spacing w:line="209" w:lineRule="exact"/>
              <w:ind w:left="69"/>
              <w:rPr>
                <w:rFonts w:ascii="Bookman Old Style"/>
                <w:b w:val="0"/>
                <w:sz w:val="18"/>
              </w:rPr>
            </w:pPr>
            <w:r>
              <w:rPr>
                <w:rFonts w:ascii="Bookman Old Style"/>
                <w:b w:val="0"/>
                <w:w w:val="65"/>
                <w:sz w:val="18"/>
              </w:rPr>
              <w:t>R.3.</w:t>
            </w: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smallCaps/>
                <w:w w:val="53"/>
                <w:sz w:val="18"/>
              </w:rPr>
              <w:t>8</w:t>
            </w:r>
          </w:p>
        </w:tc>
        <w:tc>
          <w:tcPr>
            <w:tcW w:w="499" w:type="dxa"/>
          </w:tcPr>
          <w:p>
            <w:pPr>
              <w:pStyle w:val="TableParagraph"/>
              <w:spacing w:line="233" w:lineRule="exact"/>
              <w:ind w:right="59"/>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40000</w:t>
            </w:r>
          </w:p>
        </w:tc>
      </w:tr>
      <w:tr>
        <w:trPr>
          <w:trHeight w:val="278"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1"/>
              <w:jc w:val="center"/>
              <w:rPr>
                <w:rFonts w:ascii="Bookman Old Style"/>
                <w:b w:val="0"/>
                <w:sz w:val="18"/>
              </w:rPr>
            </w:pPr>
            <w:r>
              <w:rPr>
                <w:rFonts w:ascii="Bookman Old Style"/>
                <w:b w:val="0"/>
                <w:w w:val="53"/>
                <w:sz w:val="18"/>
              </w:rPr>
              <w:t>9</w:t>
            </w:r>
          </w:p>
        </w:tc>
        <w:tc>
          <w:tcPr>
            <w:tcW w:w="499" w:type="dxa"/>
          </w:tcPr>
          <w:p>
            <w:pPr>
              <w:pStyle w:val="TableParagraph"/>
              <w:spacing w:line="233" w:lineRule="exact"/>
              <w:ind w:right="59"/>
              <w:jc w:val="right"/>
              <w:rPr>
                <w:rFonts w:ascii="Bookman Old Style"/>
                <w:b w:val="0"/>
                <w:sz w:val="20"/>
              </w:rPr>
            </w:pPr>
            <w:r>
              <w:rPr>
                <w:rFonts w:ascii="Bookman Old Style"/>
                <w:b w:val="0"/>
                <w:w w:val="50"/>
                <w:sz w:val="20"/>
              </w:rPr>
              <w:t>10000</w:t>
            </w:r>
          </w:p>
        </w:tc>
        <w:tc>
          <w:tcPr>
            <w:tcW w:w="602" w:type="dxa"/>
          </w:tcPr>
          <w:p>
            <w:pPr>
              <w:pStyle w:val="TableParagraph"/>
              <w:spacing w:line="233" w:lineRule="exact"/>
              <w:ind w:right="61"/>
              <w:jc w:val="right"/>
              <w:rPr>
                <w:rFonts w:ascii="Bookman Old Style"/>
                <w:b w:val="0"/>
                <w:sz w:val="20"/>
              </w:rPr>
            </w:pPr>
            <w:r>
              <w:rPr>
                <w:rFonts w:ascii="Bookman Old Style"/>
                <w:b w:val="0"/>
                <w:w w:val="50"/>
                <w:sz w:val="20"/>
              </w:rPr>
              <w:t>15000</w:t>
            </w: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25000</w:t>
            </w:r>
          </w:p>
        </w:tc>
      </w:tr>
      <w:tr>
        <w:trPr>
          <w:trHeight w:val="280"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30" w:right="30"/>
              <w:jc w:val="center"/>
              <w:rPr>
                <w:rFonts w:ascii="Bookman Old Style"/>
                <w:b w:val="0"/>
                <w:sz w:val="18"/>
              </w:rPr>
            </w:pPr>
            <w:r>
              <w:rPr>
                <w:rFonts w:ascii="Bookman Old Style"/>
                <w:b w:val="0"/>
                <w:w w:val="65"/>
                <w:sz w:val="18"/>
              </w:rPr>
              <w:t>10</w:t>
            </w: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spacing w:line="233" w:lineRule="exact"/>
              <w:ind w:right="59"/>
              <w:jc w:val="right"/>
              <w:rPr>
                <w:rFonts w:ascii="Bookman Old Style"/>
                <w:b w:val="0"/>
                <w:sz w:val="20"/>
              </w:rPr>
            </w:pPr>
            <w:r>
              <w:rPr>
                <w:rFonts w:ascii="Bookman Old Style"/>
                <w:b w:val="0"/>
                <w:w w:val="50"/>
                <w:sz w:val="20"/>
              </w:rPr>
              <w:t>10000</w:t>
            </w:r>
          </w:p>
        </w:tc>
        <w:tc>
          <w:tcPr>
            <w:tcW w:w="605" w:type="dxa"/>
          </w:tcPr>
          <w:p>
            <w:pPr>
              <w:pStyle w:val="TableParagraph"/>
              <w:rPr>
                <w:rFonts w:ascii="Times New Roman"/>
                <w:sz w:val="20"/>
              </w:rPr>
            </w:pPr>
          </w:p>
        </w:tc>
        <w:tc>
          <w:tcPr>
            <w:tcW w:w="535" w:type="dxa"/>
          </w:tcPr>
          <w:p>
            <w:pPr>
              <w:pStyle w:val="TableParagraph"/>
              <w:spacing w:line="233" w:lineRule="exact"/>
              <w:ind w:left="96" w:right="23"/>
              <w:jc w:val="center"/>
              <w:rPr>
                <w:rFonts w:ascii="Bookman Old Style"/>
                <w:b w:val="0"/>
                <w:sz w:val="20"/>
              </w:rPr>
            </w:pPr>
            <w:r>
              <w:rPr>
                <w:rFonts w:ascii="Bookman Old Style"/>
                <w:b w:val="0"/>
                <w:w w:val="55"/>
                <w:sz w:val="20"/>
              </w:rPr>
              <w:t>10000</w:t>
            </w: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10000</w:t>
            </w: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spacing w:line="233" w:lineRule="exact"/>
              <w:ind w:right="63"/>
              <w:jc w:val="right"/>
              <w:rPr>
                <w:rFonts w:ascii="Bookman Old Style"/>
                <w:b w:val="0"/>
                <w:sz w:val="20"/>
              </w:rPr>
            </w:pPr>
            <w:r>
              <w:rPr>
                <w:rFonts w:ascii="Bookman Old Style"/>
                <w:b w:val="0"/>
                <w:w w:val="50"/>
                <w:sz w:val="20"/>
              </w:rPr>
              <w:t>10000</w:t>
            </w: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spacing w:line="233" w:lineRule="exact"/>
              <w:ind w:right="65"/>
              <w:jc w:val="right"/>
              <w:rPr>
                <w:rFonts w:ascii="Bookman Old Style"/>
                <w:b w:val="0"/>
                <w:sz w:val="20"/>
              </w:rPr>
            </w:pPr>
            <w:r>
              <w:rPr>
                <w:rFonts w:ascii="Bookman Old Style"/>
                <w:b w:val="0"/>
                <w:w w:val="50"/>
                <w:sz w:val="20"/>
              </w:rPr>
              <w:t>10000</w:t>
            </w: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5"/>
              <w:ind w:right="64"/>
              <w:jc w:val="right"/>
              <w:rPr>
                <w:rFonts w:ascii="Times New Roman"/>
                <w:b/>
                <w:sz w:val="20"/>
              </w:rPr>
            </w:pPr>
            <w:r>
              <w:rPr>
                <w:rFonts w:ascii="Times New Roman"/>
                <w:b/>
                <w:w w:val="65"/>
                <w:sz w:val="20"/>
              </w:rPr>
              <w:t>50000</w:t>
            </w:r>
          </w:p>
        </w:tc>
      </w:tr>
      <w:tr>
        <w:trPr>
          <w:trHeight w:val="316" w:hRule="atLeast"/>
        </w:trPr>
        <w:tc>
          <w:tcPr>
            <w:tcW w:w="1042" w:type="dxa"/>
            <w:vMerge/>
            <w:tcBorders>
              <w:top w:val="nil"/>
            </w:tcBorders>
          </w:tcPr>
          <w:p>
            <w:pPr>
              <w:rPr>
                <w:sz w:val="2"/>
                <w:szCs w:val="2"/>
              </w:rPr>
            </w:pPr>
          </w:p>
        </w:tc>
        <w:tc>
          <w:tcPr>
            <w:tcW w:w="840" w:type="dxa"/>
            <w:shd w:val="clear" w:color="auto" w:fill="E1EEDA"/>
          </w:tcPr>
          <w:p>
            <w:pPr>
              <w:pStyle w:val="TableParagraph"/>
              <w:ind w:left="30" w:right="30"/>
              <w:jc w:val="center"/>
              <w:rPr>
                <w:rFonts w:ascii="Bookman Old Style"/>
                <w:b w:val="0"/>
                <w:sz w:val="18"/>
              </w:rPr>
            </w:pPr>
            <w:r>
              <w:rPr>
                <w:rFonts w:ascii="Bookman Old Style"/>
                <w:b w:val="0"/>
                <w:w w:val="65"/>
                <w:sz w:val="18"/>
              </w:rPr>
              <w:t>11</w:t>
            </w:r>
          </w:p>
        </w:tc>
        <w:tc>
          <w:tcPr>
            <w:tcW w:w="499" w:type="dxa"/>
          </w:tcPr>
          <w:p>
            <w:pPr>
              <w:pStyle w:val="TableParagraph"/>
              <w:rPr>
                <w:rFonts w:ascii="Times New Roman"/>
                <w:sz w:val="20"/>
              </w:rPr>
            </w:pPr>
          </w:p>
        </w:tc>
        <w:tc>
          <w:tcPr>
            <w:tcW w:w="602" w:type="dxa"/>
          </w:tcPr>
          <w:p>
            <w:pPr>
              <w:pStyle w:val="TableParagraph"/>
              <w:spacing w:before="1"/>
              <w:ind w:right="61"/>
              <w:jc w:val="right"/>
              <w:rPr>
                <w:rFonts w:ascii="Bookman Old Style"/>
                <w:b w:val="0"/>
                <w:sz w:val="20"/>
              </w:rPr>
            </w:pPr>
            <w:r>
              <w:rPr>
                <w:rFonts w:ascii="Bookman Old Style"/>
                <w:b w:val="0"/>
                <w:w w:val="50"/>
                <w:sz w:val="20"/>
              </w:rPr>
              <w:t>5000</w:t>
            </w:r>
          </w:p>
        </w:tc>
        <w:tc>
          <w:tcPr>
            <w:tcW w:w="603" w:type="dxa"/>
          </w:tcPr>
          <w:p>
            <w:pPr>
              <w:pStyle w:val="TableParagraph"/>
              <w:spacing w:before="1"/>
              <w:ind w:right="59"/>
              <w:jc w:val="right"/>
              <w:rPr>
                <w:rFonts w:ascii="Bookman Old Style"/>
                <w:b w:val="0"/>
                <w:sz w:val="20"/>
              </w:rPr>
            </w:pPr>
            <w:r>
              <w:rPr>
                <w:rFonts w:ascii="Bookman Old Style"/>
                <w:b w:val="0"/>
                <w:w w:val="50"/>
                <w:sz w:val="20"/>
              </w:rPr>
              <w:t>5000</w:t>
            </w:r>
          </w:p>
        </w:tc>
        <w:tc>
          <w:tcPr>
            <w:tcW w:w="605" w:type="dxa"/>
          </w:tcPr>
          <w:p>
            <w:pPr>
              <w:pStyle w:val="TableParagraph"/>
              <w:spacing w:before="1"/>
              <w:ind w:right="61"/>
              <w:jc w:val="right"/>
              <w:rPr>
                <w:rFonts w:ascii="Bookman Old Style"/>
                <w:b w:val="0"/>
                <w:sz w:val="20"/>
              </w:rPr>
            </w:pPr>
            <w:r>
              <w:rPr>
                <w:rFonts w:ascii="Bookman Old Style"/>
                <w:b w:val="0"/>
                <w:w w:val="50"/>
                <w:sz w:val="20"/>
              </w:rPr>
              <w:t>20000</w:t>
            </w:r>
          </w:p>
        </w:tc>
        <w:tc>
          <w:tcPr>
            <w:tcW w:w="535" w:type="dxa"/>
          </w:tcPr>
          <w:p>
            <w:pPr>
              <w:pStyle w:val="TableParagraph"/>
              <w:spacing w:before="1"/>
              <w:ind w:left="163" w:right="23"/>
              <w:jc w:val="center"/>
              <w:rPr>
                <w:rFonts w:ascii="Bookman Old Style"/>
                <w:b w:val="0"/>
                <w:sz w:val="20"/>
              </w:rPr>
            </w:pPr>
            <w:r>
              <w:rPr>
                <w:rFonts w:ascii="Bookman Old Style"/>
                <w:b w:val="0"/>
                <w:w w:val="60"/>
                <w:sz w:val="20"/>
              </w:rPr>
              <w:t>5000</w:t>
            </w:r>
          </w:p>
        </w:tc>
        <w:tc>
          <w:tcPr>
            <w:tcW w:w="473" w:type="dxa"/>
          </w:tcPr>
          <w:p>
            <w:pPr>
              <w:pStyle w:val="TableParagraph"/>
              <w:spacing w:before="1"/>
              <w:ind w:left="99" w:right="26"/>
              <w:jc w:val="center"/>
              <w:rPr>
                <w:rFonts w:ascii="Bookman Old Style"/>
                <w:b w:val="0"/>
                <w:sz w:val="20"/>
              </w:rPr>
            </w:pPr>
            <w:r>
              <w:rPr>
                <w:rFonts w:ascii="Bookman Old Style"/>
                <w:b w:val="0"/>
                <w:w w:val="60"/>
                <w:sz w:val="20"/>
              </w:rPr>
              <w:t>5000</w:t>
            </w:r>
          </w:p>
        </w:tc>
        <w:tc>
          <w:tcPr>
            <w:tcW w:w="607" w:type="dxa"/>
          </w:tcPr>
          <w:p>
            <w:pPr>
              <w:pStyle w:val="TableParagraph"/>
              <w:spacing w:before="1"/>
              <w:ind w:right="59"/>
              <w:jc w:val="right"/>
              <w:rPr>
                <w:rFonts w:ascii="Bookman Old Style"/>
                <w:b w:val="0"/>
                <w:sz w:val="20"/>
              </w:rPr>
            </w:pPr>
            <w:r>
              <w:rPr>
                <w:rFonts w:ascii="Bookman Old Style"/>
                <w:b w:val="0"/>
                <w:w w:val="50"/>
                <w:sz w:val="20"/>
              </w:rPr>
              <w:t>5000</w:t>
            </w:r>
          </w:p>
        </w:tc>
        <w:tc>
          <w:tcPr>
            <w:tcW w:w="602" w:type="dxa"/>
          </w:tcPr>
          <w:p>
            <w:pPr>
              <w:pStyle w:val="TableParagraph"/>
              <w:spacing w:before="1"/>
              <w:ind w:right="58"/>
              <w:jc w:val="right"/>
              <w:rPr>
                <w:rFonts w:ascii="Bookman Old Style"/>
                <w:b w:val="0"/>
                <w:sz w:val="20"/>
              </w:rPr>
            </w:pPr>
            <w:r>
              <w:rPr>
                <w:rFonts w:ascii="Bookman Old Style"/>
                <w:b w:val="0"/>
                <w:w w:val="50"/>
                <w:sz w:val="20"/>
              </w:rPr>
              <w:t>30000</w:t>
            </w:r>
          </w:p>
        </w:tc>
        <w:tc>
          <w:tcPr>
            <w:tcW w:w="538" w:type="dxa"/>
          </w:tcPr>
          <w:p>
            <w:pPr>
              <w:pStyle w:val="TableParagraph"/>
              <w:spacing w:before="1"/>
              <w:ind w:right="61"/>
              <w:jc w:val="right"/>
              <w:rPr>
                <w:rFonts w:ascii="Bookman Old Style"/>
                <w:b w:val="0"/>
                <w:sz w:val="20"/>
              </w:rPr>
            </w:pPr>
            <w:r>
              <w:rPr>
                <w:rFonts w:ascii="Bookman Old Style"/>
                <w:b w:val="0"/>
                <w:w w:val="50"/>
                <w:sz w:val="20"/>
              </w:rPr>
              <w:t>5000</w:t>
            </w:r>
          </w:p>
        </w:tc>
        <w:tc>
          <w:tcPr>
            <w:tcW w:w="538" w:type="dxa"/>
          </w:tcPr>
          <w:p>
            <w:pPr>
              <w:pStyle w:val="TableParagraph"/>
              <w:spacing w:before="1"/>
              <w:ind w:right="61"/>
              <w:jc w:val="right"/>
              <w:rPr>
                <w:rFonts w:ascii="Bookman Old Style"/>
                <w:b w:val="0"/>
                <w:sz w:val="20"/>
              </w:rPr>
            </w:pPr>
            <w:r>
              <w:rPr>
                <w:rFonts w:ascii="Bookman Old Style"/>
                <w:b w:val="0"/>
                <w:w w:val="50"/>
                <w:sz w:val="20"/>
              </w:rPr>
              <w:t>5000</w:t>
            </w:r>
          </w:p>
        </w:tc>
        <w:tc>
          <w:tcPr>
            <w:tcW w:w="603" w:type="dxa"/>
          </w:tcPr>
          <w:p>
            <w:pPr>
              <w:pStyle w:val="TableParagraph"/>
              <w:spacing w:before="1"/>
              <w:ind w:right="59"/>
              <w:jc w:val="right"/>
              <w:rPr>
                <w:rFonts w:ascii="Bookman Old Style"/>
                <w:b w:val="0"/>
                <w:sz w:val="20"/>
              </w:rPr>
            </w:pPr>
            <w:r>
              <w:rPr>
                <w:rFonts w:ascii="Bookman Old Style"/>
                <w:b w:val="0"/>
                <w:w w:val="50"/>
                <w:sz w:val="20"/>
              </w:rPr>
              <w:t>5000</w:t>
            </w:r>
          </w:p>
        </w:tc>
        <w:tc>
          <w:tcPr>
            <w:tcW w:w="603" w:type="dxa"/>
          </w:tcPr>
          <w:p>
            <w:pPr>
              <w:pStyle w:val="TableParagraph"/>
              <w:spacing w:before="1"/>
              <w:ind w:right="60"/>
              <w:jc w:val="right"/>
              <w:rPr>
                <w:rFonts w:ascii="Bookman Old Style"/>
                <w:b w:val="0"/>
                <w:sz w:val="20"/>
              </w:rPr>
            </w:pPr>
            <w:r>
              <w:rPr>
                <w:rFonts w:ascii="Bookman Old Style"/>
                <w:b w:val="0"/>
                <w:w w:val="50"/>
                <w:sz w:val="20"/>
              </w:rPr>
              <w:t>30000</w:t>
            </w:r>
          </w:p>
        </w:tc>
        <w:tc>
          <w:tcPr>
            <w:tcW w:w="538" w:type="dxa"/>
          </w:tcPr>
          <w:p>
            <w:pPr>
              <w:pStyle w:val="TableParagraph"/>
              <w:spacing w:before="1"/>
              <w:ind w:right="63"/>
              <w:jc w:val="right"/>
              <w:rPr>
                <w:rFonts w:ascii="Bookman Old Style"/>
                <w:b w:val="0"/>
                <w:sz w:val="20"/>
              </w:rPr>
            </w:pPr>
            <w:r>
              <w:rPr>
                <w:rFonts w:ascii="Bookman Old Style"/>
                <w:b w:val="0"/>
                <w:w w:val="50"/>
                <w:sz w:val="20"/>
              </w:rPr>
              <w:t>5000</w:t>
            </w:r>
          </w:p>
        </w:tc>
        <w:tc>
          <w:tcPr>
            <w:tcW w:w="538" w:type="dxa"/>
          </w:tcPr>
          <w:p>
            <w:pPr>
              <w:pStyle w:val="TableParagraph"/>
              <w:spacing w:before="1"/>
              <w:ind w:left="162" w:right="28"/>
              <w:jc w:val="center"/>
              <w:rPr>
                <w:rFonts w:ascii="Bookman Old Style"/>
                <w:b w:val="0"/>
                <w:sz w:val="20"/>
              </w:rPr>
            </w:pPr>
            <w:r>
              <w:rPr>
                <w:rFonts w:ascii="Bookman Old Style"/>
                <w:b w:val="0"/>
                <w:w w:val="60"/>
                <w:sz w:val="20"/>
              </w:rPr>
              <w:t>5000</w:t>
            </w:r>
          </w:p>
        </w:tc>
        <w:tc>
          <w:tcPr>
            <w:tcW w:w="539" w:type="dxa"/>
          </w:tcPr>
          <w:p>
            <w:pPr>
              <w:pStyle w:val="TableParagraph"/>
              <w:spacing w:before="1"/>
              <w:ind w:right="64"/>
              <w:jc w:val="right"/>
              <w:rPr>
                <w:rFonts w:ascii="Bookman Old Style"/>
                <w:b w:val="0"/>
                <w:sz w:val="20"/>
              </w:rPr>
            </w:pPr>
            <w:r>
              <w:rPr>
                <w:rFonts w:ascii="Bookman Old Style"/>
                <w:b w:val="0"/>
                <w:w w:val="50"/>
                <w:sz w:val="20"/>
              </w:rPr>
              <w:t>5000</w:t>
            </w:r>
          </w:p>
        </w:tc>
        <w:tc>
          <w:tcPr>
            <w:tcW w:w="603" w:type="dxa"/>
          </w:tcPr>
          <w:p>
            <w:pPr>
              <w:pStyle w:val="TableParagraph"/>
              <w:spacing w:before="1"/>
              <w:ind w:right="65"/>
              <w:jc w:val="right"/>
              <w:rPr>
                <w:rFonts w:ascii="Bookman Old Style"/>
                <w:b w:val="0"/>
                <w:sz w:val="20"/>
              </w:rPr>
            </w:pPr>
            <w:r>
              <w:rPr>
                <w:rFonts w:ascii="Bookman Old Style"/>
                <w:b w:val="0"/>
                <w:w w:val="50"/>
                <w:sz w:val="20"/>
              </w:rPr>
              <w:t>30000</w:t>
            </w:r>
          </w:p>
        </w:tc>
        <w:tc>
          <w:tcPr>
            <w:tcW w:w="538" w:type="dxa"/>
          </w:tcPr>
          <w:p>
            <w:pPr>
              <w:pStyle w:val="TableParagraph"/>
              <w:spacing w:before="1"/>
              <w:ind w:right="65"/>
              <w:jc w:val="right"/>
              <w:rPr>
                <w:rFonts w:ascii="Bookman Old Style"/>
                <w:b w:val="0"/>
                <w:sz w:val="20"/>
              </w:rPr>
            </w:pPr>
            <w:r>
              <w:rPr>
                <w:rFonts w:ascii="Bookman Old Style"/>
                <w:b w:val="0"/>
                <w:w w:val="50"/>
                <w:sz w:val="20"/>
              </w:rPr>
              <w:t>5000</w:t>
            </w:r>
          </w:p>
        </w:tc>
        <w:tc>
          <w:tcPr>
            <w:tcW w:w="536" w:type="dxa"/>
          </w:tcPr>
          <w:p>
            <w:pPr>
              <w:pStyle w:val="TableParagraph"/>
              <w:spacing w:before="1"/>
              <w:ind w:right="66"/>
              <w:jc w:val="right"/>
              <w:rPr>
                <w:rFonts w:ascii="Bookman Old Style"/>
                <w:b w:val="0"/>
                <w:sz w:val="20"/>
              </w:rPr>
            </w:pPr>
            <w:r>
              <w:rPr>
                <w:rFonts w:ascii="Bookman Old Style"/>
                <w:b w:val="0"/>
                <w:w w:val="50"/>
                <w:sz w:val="20"/>
              </w:rPr>
              <w:t>5000</w:t>
            </w:r>
          </w:p>
        </w:tc>
        <w:tc>
          <w:tcPr>
            <w:tcW w:w="538" w:type="dxa"/>
          </w:tcPr>
          <w:p>
            <w:pPr>
              <w:pStyle w:val="TableParagraph"/>
              <w:spacing w:before="1"/>
              <w:ind w:right="66"/>
              <w:jc w:val="right"/>
              <w:rPr>
                <w:rFonts w:ascii="Bookman Old Style"/>
                <w:b w:val="0"/>
                <w:sz w:val="20"/>
              </w:rPr>
            </w:pPr>
            <w:r>
              <w:rPr>
                <w:rFonts w:ascii="Bookman Old Style"/>
                <w:b w:val="0"/>
                <w:w w:val="50"/>
                <w:sz w:val="20"/>
              </w:rPr>
              <w:t>5000</w:t>
            </w:r>
          </w:p>
        </w:tc>
        <w:tc>
          <w:tcPr>
            <w:tcW w:w="627" w:type="dxa"/>
          </w:tcPr>
          <w:p>
            <w:pPr>
              <w:pStyle w:val="TableParagraph"/>
              <w:spacing w:before="1"/>
              <w:ind w:right="64"/>
              <w:jc w:val="right"/>
              <w:rPr>
                <w:rFonts w:ascii="Bookman Old Style"/>
                <w:b w:val="0"/>
                <w:sz w:val="20"/>
              </w:rPr>
            </w:pPr>
            <w:r>
              <w:rPr>
                <w:rFonts w:ascii="Bookman Old Style"/>
                <w:b w:val="0"/>
                <w:w w:val="50"/>
                <w:sz w:val="20"/>
              </w:rPr>
              <w:t>30000</w:t>
            </w:r>
          </w:p>
        </w:tc>
        <w:tc>
          <w:tcPr>
            <w:tcW w:w="1001" w:type="dxa"/>
          </w:tcPr>
          <w:p>
            <w:pPr>
              <w:pStyle w:val="TableParagraph"/>
              <w:spacing w:before="7"/>
              <w:ind w:right="64"/>
              <w:jc w:val="right"/>
              <w:rPr>
                <w:rFonts w:ascii="Times New Roman"/>
                <w:b/>
                <w:sz w:val="20"/>
              </w:rPr>
            </w:pPr>
            <w:r>
              <w:rPr>
                <w:rFonts w:ascii="Times New Roman"/>
                <w:b/>
                <w:w w:val="65"/>
                <w:sz w:val="20"/>
              </w:rPr>
              <w:t>210000</w:t>
            </w:r>
          </w:p>
        </w:tc>
      </w:tr>
      <w:tr>
        <w:trPr>
          <w:trHeight w:val="275"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30" w:right="30"/>
              <w:jc w:val="center"/>
              <w:rPr>
                <w:rFonts w:ascii="Bookman Old Style"/>
                <w:b w:val="0"/>
                <w:sz w:val="18"/>
              </w:rPr>
            </w:pPr>
            <w:r>
              <w:rPr>
                <w:rFonts w:ascii="Bookman Old Style"/>
                <w:b w:val="0"/>
                <w:w w:val="65"/>
                <w:sz w:val="18"/>
              </w:rPr>
              <w:t>12</w:t>
            </w:r>
          </w:p>
        </w:tc>
        <w:tc>
          <w:tcPr>
            <w:tcW w:w="499" w:type="dxa"/>
          </w:tcPr>
          <w:p>
            <w:pPr>
              <w:pStyle w:val="TableParagraph"/>
              <w:rPr>
                <w:rFonts w:ascii="Times New Roman"/>
                <w:sz w:val="20"/>
              </w:rPr>
            </w:pPr>
          </w:p>
        </w:tc>
        <w:tc>
          <w:tcPr>
            <w:tcW w:w="602" w:type="dxa"/>
          </w:tcPr>
          <w:p>
            <w:pPr>
              <w:pStyle w:val="TableParagraph"/>
              <w:rPr>
                <w:rFonts w:ascii="Times New Roman"/>
                <w:sz w:val="20"/>
              </w:rPr>
            </w:pPr>
          </w:p>
        </w:tc>
        <w:tc>
          <w:tcPr>
            <w:tcW w:w="603" w:type="dxa"/>
          </w:tcPr>
          <w:p>
            <w:pPr>
              <w:pStyle w:val="TableParagraph"/>
              <w:rPr>
                <w:rFonts w:ascii="Times New Roman"/>
                <w:sz w:val="20"/>
              </w:rPr>
            </w:pPr>
          </w:p>
        </w:tc>
        <w:tc>
          <w:tcPr>
            <w:tcW w:w="605" w:type="dxa"/>
          </w:tcPr>
          <w:p>
            <w:pPr>
              <w:pStyle w:val="TableParagraph"/>
              <w:spacing w:line="233" w:lineRule="exact"/>
              <w:ind w:right="61"/>
              <w:jc w:val="right"/>
              <w:rPr>
                <w:rFonts w:ascii="Bookman Old Style"/>
                <w:b w:val="0"/>
                <w:sz w:val="20"/>
              </w:rPr>
            </w:pPr>
            <w:r>
              <w:rPr>
                <w:rFonts w:ascii="Bookman Old Style"/>
                <w:b w:val="0"/>
                <w:w w:val="50"/>
                <w:sz w:val="20"/>
              </w:rPr>
              <w:t>10000</w:t>
            </w: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spacing w:line="233" w:lineRule="exact"/>
              <w:ind w:right="58"/>
              <w:jc w:val="right"/>
              <w:rPr>
                <w:rFonts w:ascii="Bookman Old Style"/>
                <w:b w:val="0"/>
                <w:sz w:val="20"/>
              </w:rPr>
            </w:pPr>
            <w:r>
              <w:rPr>
                <w:rFonts w:ascii="Bookman Old Style"/>
                <w:b w:val="0"/>
                <w:w w:val="50"/>
                <w:sz w:val="20"/>
              </w:rPr>
              <w:t>10000</w:t>
            </w: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spacing w:line="233" w:lineRule="exact"/>
              <w:ind w:right="60"/>
              <w:jc w:val="right"/>
              <w:rPr>
                <w:rFonts w:ascii="Bookman Old Style"/>
                <w:b w:val="0"/>
                <w:sz w:val="20"/>
              </w:rPr>
            </w:pPr>
            <w:r>
              <w:rPr>
                <w:rFonts w:ascii="Bookman Old Style"/>
                <w:b w:val="0"/>
                <w:w w:val="50"/>
                <w:sz w:val="20"/>
              </w:rPr>
              <w:t>10000</w:t>
            </w: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10000</w:t>
            </w: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spacing w:line="233" w:lineRule="exact"/>
              <w:ind w:right="64"/>
              <w:jc w:val="right"/>
              <w:rPr>
                <w:rFonts w:ascii="Bookman Old Style"/>
                <w:b w:val="0"/>
                <w:sz w:val="20"/>
              </w:rPr>
            </w:pPr>
            <w:r>
              <w:rPr>
                <w:rFonts w:ascii="Bookman Old Style"/>
                <w:b w:val="0"/>
                <w:w w:val="50"/>
                <w:sz w:val="20"/>
              </w:rPr>
              <w:t>10000</w:t>
            </w:r>
          </w:p>
        </w:tc>
        <w:tc>
          <w:tcPr>
            <w:tcW w:w="1001" w:type="dxa"/>
          </w:tcPr>
          <w:p>
            <w:pPr>
              <w:pStyle w:val="TableParagraph"/>
              <w:spacing w:before="5"/>
              <w:ind w:right="64"/>
              <w:jc w:val="right"/>
              <w:rPr>
                <w:rFonts w:ascii="Times New Roman"/>
                <w:b/>
                <w:sz w:val="20"/>
              </w:rPr>
            </w:pPr>
            <w:r>
              <w:rPr>
                <w:rFonts w:ascii="Times New Roman"/>
                <w:b/>
                <w:w w:val="65"/>
                <w:sz w:val="20"/>
              </w:rPr>
              <w:t>50000</w:t>
            </w:r>
          </w:p>
        </w:tc>
      </w:tr>
      <w:tr>
        <w:trPr>
          <w:trHeight w:val="278" w:hRule="atLeast"/>
        </w:trPr>
        <w:tc>
          <w:tcPr>
            <w:tcW w:w="1042" w:type="dxa"/>
            <w:vMerge w:val="restart"/>
          </w:tcPr>
          <w:p>
            <w:pPr>
              <w:pStyle w:val="TableParagraph"/>
              <w:ind w:left="69"/>
              <w:rPr>
                <w:rFonts w:ascii="Bookman Old Style"/>
                <w:b w:val="0"/>
                <w:sz w:val="18"/>
              </w:rPr>
            </w:pPr>
            <w:r>
              <w:rPr>
                <w:rFonts w:ascii="Bookman Old Style"/>
                <w:b w:val="0"/>
                <w:spacing w:val="-1"/>
                <w:w w:val="58"/>
                <w:sz w:val="18"/>
              </w:rPr>
              <w:t>R.</w:t>
            </w:r>
            <w:r>
              <w:rPr>
                <w:rFonts w:ascii="Bookman Old Style"/>
                <w:b w:val="0"/>
                <w:smallCaps/>
                <w:w w:val="53"/>
                <w:sz w:val="18"/>
              </w:rPr>
              <w:t>4</w:t>
            </w:r>
          </w:p>
        </w:tc>
        <w:tc>
          <w:tcPr>
            <w:tcW w:w="840" w:type="dxa"/>
            <w:shd w:val="clear" w:color="auto" w:fill="E1EEDA"/>
          </w:tcPr>
          <w:p>
            <w:pPr>
              <w:pStyle w:val="TableParagraph"/>
              <w:ind w:left="30" w:right="30"/>
              <w:jc w:val="center"/>
              <w:rPr>
                <w:rFonts w:ascii="Bookman Old Style"/>
                <w:b w:val="0"/>
                <w:sz w:val="18"/>
              </w:rPr>
            </w:pPr>
            <w:r>
              <w:rPr>
                <w:rFonts w:ascii="Bookman Old Style"/>
                <w:b w:val="0"/>
                <w:w w:val="65"/>
                <w:sz w:val="18"/>
              </w:rPr>
              <w:t>13</w:t>
            </w:r>
          </w:p>
        </w:tc>
        <w:tc>
          <w:tcPr>
            <w:tcW w:w="499" w:type="dxa"/>
          </w:tcPr>
          <w:p>
            <w:pPr>
              <w:pStyle w:val="TableParagraph"/>
              <w:spacing w:before="1"/>
              <w:ind w:right="59"/>
              <w:jc w:val="right"/>
              <w:rPr>
                <w:rFonts w:ascii="Bookman Old Style"/>
                <w:b w:val="0"/>
                <w:sz w:val="20"/>
              </w:rPr>
            </w:pPr>
            <w:r>
              <w:rPr>
                <w:rFonts w:ascii="Bookman Old Style"/>
                <w:b w:val="0"/>
                <w:w w:val="50"/>
                <w:sz w:val="20"/>
              </w:rPr>
              <w:t>50000</w:t>
            </w:r>
          </w:p>
        </w:tc>
        <w:tc>
          <w:tcPr>
            <w:tcW w:w="602" w:type="dxa"/>
          </w:tcPr>
          <w:p>
            <w:pPr>
              <w:pStyle w:val="TableParagraph"/>
              <w:spacing w:before="1"/>
              <w:ind w:right="61"/>
              <w:jc w:val="right"/>
              <w:rPr>
                <w:rFonts w:ascii="Bookman Old Style"/>
                <w:b w:val="0"/>
                <w:sz w:val="20"/>
              </w:rPr>
            </w:pPr>
            <w:r>
              <w:rPr>
                <w:rFonts w:ascii="Bookman Old Style"/>
                <w:b w:val="0"/>
                <w:w w:val="50"/>
                <w:sz w:val="20"/>
              </w:rPr>
              <w:t>10000</w:t>
            </w:r>
          </w:p>
        </w:tc>
        <w:tc>
          <w:tcPr>
            <w:tcW w:w="603" w:type="dxa"/>
          </w:tcPr>
          <w:p>
            <w:pPr>
              <w:pStyle w:val="TableParagraph"/>
              <w:rPr>
                <w:rFonts w:ascii="Times New Roman"/>
                <w:sz w:val="20"/>
              </w:rPr>
            </w:pPr>
          </w:p>
        </w:tc>
        <w:tc>
          <w:tcPr>
            <w:tcW w:w="605" w:type="dxa"/>
          </w:tcPr>
          <w:p>
            <w:pPr>
              <w:pStyle w:val="TableParagraph"/>
              <w:rPr>
                <w:rFonts w:ascii="Times New Roman"/>
                <w:sz w:val="20"/>
              </w:rPr>
            </w:pP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rPr>
                <w:rFonts w:ascii="Times New Roman"/>
                <w:sz w:val="20"/>
              </w:rPr>
            </w:pP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rPr>
                <w:rFonts w:ascii="Times New Roman"/>
                <w:sz w:val="20"/>
              </w:rPr>
            </w:pP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rPr>
                <w:rFonts w:ascii="Times New Roman"/>
                <w:sz w:val="20"/>
              </w:rPr>
            </w:pPr>
          </w:p>
        </w:tc>
        <w:tc>
          <w:tcPr>
            <w:tcW w:w="627" w:type="dxa"/>
          </w:tcPr>
          <w:p>
            <w:pPr>
              <w:pStyle w:val="TableParagraph"/>
              <w:rPr>
                <w:rFonts w:ascii="Times New Roman"/>
                <w:sz w:val="20"/>
              </w:rPr>
            </w:pPr>
          </w:p>
        </w:tc>
        <w:tc>
          <w:tcPr>
            <w:tcW w:w="1001" w:type="dxa"/>
          </w:tcPr>
          <w:p>
            <w:pPr>
              <w:pStyle w:val="TableParagraph"/>
              <w:spacing w:before="7"/>
              <w:ind w:right="64"/>
              <w:jc w:val="right"/>
              <w:rPr>
                <w:rFonts w:ascii="Times New Roman"/>
                <w:b/>
                <w:sz w:val="20"/>
              </w:rPr>
            </w:pPr>
            <w:r>
              <w:rPr>
                <w:rFonts w:ascii="Times New Roman"/>
                <w:b/>
                <w:w w:val="65"/>
                <w:sz w:val="20"/>
              </w:rPr>
              <w:t>60000</w:t>
            </w:r>
          </w:p>
        </w:tc>
      </w:tr>
      <w:tr>
        <w:trPr>
          <w:trHeight w:val="318"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30" w:right="30"/>
              <w:jc w:val="center"/>
              <w:rPr>
                <w:rFonts w:ascii="Bookman Old Style"/>
                <w:b w:val="0"/>
                <w:sz w:val="18"/>
              </w:rPr>
            </w:pPr>
            <w:r>
              <w:rPr>
                <w:rFonts w:ascii="Bookman Old Style"/>
                <w:b w:val="0"/>
                <w:smallCaps/>
                <w:w w:val="53"/>
                <w:sz w:val="18"/>
              </w:rPr>
              <w:t>14</w:t>
            </w:r>
          </w:p>
        </w:tc>
        <w:tc>
          <w:tcPr>
            <w:tcW w:w="499" w:type="dxa"/>
          </w:tcPr>
          <w:p>
            <w:pPr>
              <w:pStyle w:val="TableParagraph"/>
              <w:rPr>
                <w:rFonts w:ascii="Times New Roman"/>
                <w:sz w:val="20"/>
              </w:rPr>
            </w:pPr>
          </w:p>
        </w:tc>
        <w:tc>
          <w:tcPr>
            <w:tcW w:w="602" w:type="dxa"/>
          </w:tcPr>
          <w:p>
            <w:pPr>
              <w:pStyle w:val="TableParagraph"/>
              <w:spacing w:line="233" w:lineRule="exact"/>
              <w:ind w:right="62"/>
              <w:jc w:val="right"/>
              <w:rPr>
                <w:rFonts w:ascii="Bookman Old Style"/>
                <w:b w:val="0"/>
                <w:sz w:val="20"/>
              </w:rPr>
            </w:pPr>
            <w:r>
              <w:rPr>
                <w:rFonts w:ascii="Bookman Old Style"/>
                <w:b w:val="0"/>
                <w:w w:val="50"/>
                <w:sz w:val="20"/>
              </w:rPr>
              <w:t>1000000</w:t>
            </w:r>
          </w:p>
        </w:tc>
        <w:tc>
          <w:tcPr>
            <w:tcW w:w="603" w:type="dxa"/>
          </w:tcPr>
          <w:p>
            <w:pPr>
              <w:pStyle w:val="TableParagraph"/>
              <w:spacing w:line="233" w:lineRule="exact"/>
              <w:ind w:right="60"/>
              <w:jc w:val="right"/>
              <w:rPr>
                <w:rFonts w:ascii="Bookman Old Style"/>
                <w:b w:val="0"/>
                <w:sz w:val="20"/>
              </w:rPr>
            </w:pPr>
            <w:r>
              <w:rPr>
                <w:rFonts w:ascii="Bookman Old Style"/>
                <w:b w:val="0"/>
                <w:w w:val="50"/>
                <w:sz w:val="20"/>
              </w:rPr>
              <w:t>2000000</w:t>
            </w:r>
          </w:p>
        </w:tc>
        <w:tc>
          <w:tcPr>
            <w:tcW w:w="605" w:type="dxa"/>
          </w:tcPr>
          <w:p>
            <w:pPr>
              <w:pStyle w:val="TableParagraph"/>
              <w:spacing w:line="233" w:lineRule="exact"/>
              <w:ind w:right="61"/>
              <w:jc w:val="right"/>
              <w:rPr>
                <w:rFonts w:ascii="Bookman Old Style"/>
                <w:b w:val="0"/>
                <w:sz w:val="20"/>
              </w:rPr>
            </w:pPr>
            <w:r>
              <w:rPr>
                <w:rFonts w:ascii="Bookman Old Style"/>
                <w:b w:val="0"/>
                <w:w w:val="50"/>
                <w:sz w:val="20"/>
              </w:rPr>
              <w:t>500000</w:t>
            </w:r>
          </w:p>
        </w:tc>
        <w:tc>
          <w:tcPr>
            <w:tcW w:w="535" w:type="dxa"/>
          </w:tcPr>
          <w:p>
            <w:pPr>
              <w:pStyle w:val="TableParagraph"/>
              <w:rPr>
                <w:rFonts w:ascii="Times New Roman"/>
                <w:sz w:val="20"/>
              </w:rPr>
            </w:pPr>
          </w:p>
        </w:tc>
        <w:tc>
          <w:tcPr>
            <w:tcW w:w="473" w:type="dxa"/>
          </w:tcPr>
          <w:p>
            <w:pPr>
              <w:pStyle w:val="TableParagraph"/>
              <w:rPr>
                <w:rFonts w:ascii="Times New Roman"/>
                <w:sz w:val="20"/>
              </w:rPr>
            </w:pPr>
          </w:p>
        </w:tc>
        <w:tc>
          <w:tcPr>
            <w:tcW w:w="607" w:type="dxa"/>
          </w:tcPr>
          <w:p>
            <w:pPr>
              <w:pStyle w:val="TableParagraph"/>
              <w:spacing w:line="233" w:lineRule="exact"/>
              <w:ind w:right="59"/>
              <w:jc w:val="right"/>
              <w:rPr>
                <w:rFonts w:ascii="Bookman Old Style"/>
                <w:b w:val="0"/>
                <w:sz w:val="20"/>
              </w:rPr>
            </w:pPr>
            <w:r>
              <w:rPr>
                <w:rFonts w:ascii="Bookman Old Style"/>
                <w:b w:val="0"/>
                <w:w w:val="50"/>
                <w:sz w:val="20"/>
              </w:rPr>
              <w:t>1000000</w:t>
            </w:r>
          </w:p>
        </w:tc>
        <w:tc>
          <w:tcPr>
            <w:tcW w:w="602"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603" w:type="dxa"/>
          </w:tcPr>
          <w:p>
            <w:pPr>
              <w:pStyle w:val="TableParagraph"/>
              <w:spacing w:line="233" w:lineRule="exact"/>
              <w:ind w:right="60"/>
              <w:jc w:val="right"/>
              <w:rPr>
                <w:rFonts w:ascii="Bookman Old Style"/>
                <w:b w:val="0"/>
                <w:sz w:val="20"/>
              </w:rPr>
            </w:pPr>
            <w:r>
              <w:rPr>
                <w:rFonts w:ascii="Bookman Old Style"/>
                <w:b w:val="0"/>
                <w:w w:val="50"/>
                <w:sz w:val="20"/>
              </w:rPr>
              <w:t>1000000</w:t>
            </w: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8" w:type="dxa"/>
          </w:tcPr>
          <w:p>
            <w:pPr>
              <w:pStyle w:val="TableParagraph"/>
              <w:rPr>
                <w:rFonts w:ascii="Times New Roman"/>
                <w:sz w:val="20"/>
              </w:rPr>
            </w:pPr>
          </w:p>
        </w:tc>
        <w:tc>
          <w:tcPr>
            <w:tcW w:w="539" w:type="dxa"/>
          </w:tcPr>
          <w:p>
            <w:pPr>
              <w:pStyle w:val="TableParagraph"/>
              <w:spacing w:line="233" w:lineRule="exact"/>
              <w:ind w:right="64"/>
              <w:jc w:val="right"/>
              <w:rPr>
                <w:rFonts w:ascii="Bookman Old Style"/>
                <w:b w:val="0"/>
                <w:sz w:val="20"/>
              </w:rPr>
            </w:pPr>
            <w:r>
              <w:rPr>
                <w:rFonts w:ascii="Bookman Old Style"/>
                <w:b w:val="0"/>
                <w:w w:val="50"/>
                <w:sz w:val="20"/>
              </w:rPr>
              <w:t>700000</w:t>
            </w:r>
          </w:p>
        </w:tc>
        <w:tc>
          <w:tcPr>
            <w:tcW w:w="603" w:type="dxa"/>
          </w:tcPr>
          <w:p>
            <w:pPr>
              <w:pStyle w:val="TableParagraph"/>
              <w:rPr>
                <w:rFonts w:ascii="Times New Roman"/>
                <w:sz w:val="20"/>
              </w:rPr>
            </w:pPr>
          </w:p>
        </w:tc>
        <w:tc>
          <w:tcPr>
            <w:tcW w:w="538" w:type="dxa"/>
          </w:tcPr>
          <w:p>
            <w:pPr>
              <w:pStyle w:val="TableParagraph"/>
              <w:rPr>
                <w:rFonts w:ascii="Times New Roman"/>
                <w:sz w:val="20"/>
              </w:rPr>
            </w:pPr>
          </w:p>
        </w:tc>
        <w:tc>
          <w:tcPr>
            <w:tcW w:w="536" w:type="dxa"/>
          </w:tcPr>
          <w:p>
            <w:pPr>
              <w:pStyle w:val="TableParagraph"/>
              <w:rPr>
                <w:rFonts w:ascii="Times New Roman"/>
                <w:sz w:val="20"/>
              </w:rPr>
            </w:pPr>
          </w:p>
        </w:tc>
        <w:tc>
          <w:tcPr>
            <w:tcW w:w="538" w:type="dxa"/>
          </w:tcPr>
          <w:p>
            <w:pPr>
              <w:pStyle w:val="TableParagraph"/>
              <w:spacing w:line="233" w:lineRule="exact"/>
              <w:ind w:right="66"/>
              <w:jc w:val="right"/>
              <w:rPr>
                <w:rFonts w:ascii="Bookman Old Style"/>
                <w:b w:val="0"/>
                <w:sz w:val="20"/>
              </w:rPr>
            </w:pPr>
            <w:r>
              <w:rPr>
                <w:rFonts w:ascii="Bookman Old Style"/>
                <w:b w:val="0"/>
                <w:w w:val="50"/>
                <w:sz w:val="20"/>
              </w:rPr>
              <w:t>500000</w:t>
            </w:r>
          </w:p>
        </w:tc>
        <w:tc>
          <w:tcPr>
            <w:tcW w:w="627" w:type="dxa"/>
          </w:tcPr>
          <w:p>
            <w:pPr>
              <w:pStyle w:val="TableParagraph"/>
              <w:rPr>
                <w:rFonts w:ascii="Times New Roman"/>
                <w:sz w:val="20"/>
              </w:rPr>
            </w:pPr>
          </w:p>
        </w:tc>
        <w:tc>
          <w:tcPr>
            <w:tcW w:w="1001" w:type="dxa"/>
          </w:tcPr>
          <w:p>
            <w:pPr>
              <w:pStyle w:val="TableParagraph"/>
              <w:spacing w:before="5"/>
              <w:ind w:right="65"/>
              <w:jc w:val="right"/>
              <w:rPr>
                <w:rFonts w:ascii="Times New Roman"/>
                <w:b/>
                <w:sz w:val="20"/>
              </w:rPr>
            </w:pPr>
            <w:r>
              <w:rPr>
                <w:rFonts w:ascii="Times New Roman"/>
                <w:b/>
                <w:w w:val="65"/>
                <w:sz w:val="20"/>
              </w:rPr>
              <w:t>6700000</w:t>
            </w:r>
          </w:p>
        </w:tc>
      </w:tr>
      <w:tr>
        <w:trPr>
          <w:trHeight w:val="301" w:hRule="atLeast"/>
        </w:trPr>
        <w:tc>
          <w:tcPr>
            <w:tcW w:w="1042" w:type="dxa"/>
            <w:vMerge/>
            <w:tcBorders>
              <w:top w:val="nil"/>
            </w:tcBorders>
          </w:tcPr>
          <w:p>
            <w:pPr>
              <w:rPr>
                <w:sz w:val="2"/>
                <w:szCs w:val="2"/>
              </w:rPr>
            </w:pPr>
          </w:p>
        </w:tc>
        <w:tc>
          <w:tcPr>
            <w:tcW w:w="840" w:type="dxa"/>
            <w:shd w:val="clear" w:color="auto" w:fill="E1EEDA"/>
          </w:tcPr>
          <w:p>
            <w:pPr>
              <w:pStyle w:val="TableParagraph"/>
              <w:spacing w:line="209" w:lineRule="exact"/>
              <w:ind w:left="30" w:right="30"/>
              <w:jc w:val="center"/>
              <w:rPr>
                <w:rFonts w:ascii="Bookman Old Style"/>
                <w:b w:val="0"/>
                <w:sz w:val="18"/>
              </w:rPr>
            </w:pPr>
            <w:r>
              <w:rPr>
                <w:rFonts w:ascii="Bookman Old Style"/>
                <w:b w:val="0"/>
                <w:w w:val="65"/>
                <w:sz w:val="18"/>
              </w:rPr>
              <w:t>15</w:t>
            </w:r>
          </w:p>
        </w:tc>
        <w:tc>
          <w:tcPr>
            <w:tcW w:w="499" w:type="dxa"/>
          </w:tcPr>
          <w:p>
            <w:pPr>
              <w:pStyle w:val="TableParagraph"/>
              <w:rPr>
                <w:rFonts w:ascii="Times New Roman"/>
                <w:sz w:val="20"/>
              </w:rPr>
            </w:pPr>
          </w:p>
        </w:tc>
        <w:tc>
          <w:tcPr>
            <w:tcW w:w="602" w:type="dxa"/>
          </w:tcPr>
          <w:p>
            <w:pPr>
              <w:pStyle w:val="TableParagraph"/>
              <w:spacing w:line="233" w:lineRule="exact"/>
              <w:ind w:right="61"/>
              <w:jc w:val="right"/>
              <w:rPr>
                <w:rFonts w:ascii="Bookman Old Style"/>
                <w:b w:val="0"/>
                <w:sz w:val="20"/>
              </w:rPr>
            </w:pPr>
            <w:r>
              <w:rPr>
                <w:rFonts w:ascii="Bookman Old Style"/>
                <w:b w:val="0"/>
                <w:w w:val="50"/>
                <w:sz w:val="20"/>
              </w:rPr>
              <w:t>30000</w:t>
            </w:r>
          </w:p>
        </w:tc>
        <w:tc>
          <w:tcPr>
            <w:tcW w:w="603" w:type="dxa"/>
          </w:tcPr>
          <w:p>
            <w:pPr>
              <w:pStyle w:val="TableParagraph"/>
              <w:spacing w:line="233" w:lineRule="exact"/>
              <w:ind w:right="59"/>
              <w:jc w:val="right"/>
              <w:rPr>
                <w:rFonts w:ascii="Bookman Old Style"/>
                <w:b w:val="0"/>
                <w:sz w:val="20"/>
              </w:rPr>
            </w:pPr>
            <w:r>
              <w:rPr>
                <w:rFonts w:ascii="Bookman Old Style"/>
                <w:b w:val="0"/>
                <w:w w:val="50"/>
                <w:sz w:val="20"/>
              </w:rPr>
              <w:t>20000</w:t>
            </w:r>
          </w:p>
        </w:tc>
        <w:tc>
          <w:tcPr>
            <w:tcW w:w="605" w:type="dxa"/>
          </w:tcPr>
          <w:p>
            <w:pPr>
              <w:pStyle w:val="TableParagraph"/>
              <w:spacing w:line="233" w:lineRule="exact"/>
              <w:ind w:right="61"/>
              <w:jc w:val="right"/>
              <w:rPr>
                <w:rFonts w:ascii="Bookman Old Style"/>
                <w:b w:val="0"/>
                <w:sz w:val="20"/>
              </w:rPr>
            </w:pPr>
            <w:r>
              <w:rPr>
                <w:rFonts w:ascii="Bookman Old Style"/>
                <w:b w:val="0"/>
                <w:w w:val="50"/>
                <w:sz w:val="20"/>
              </w:rPr>
              <w:t>650000</w:t>
            </w:r>
          </w:p>
        </w:tc>
        <w:tc>
          <w:tcPr>
            <w:tcW w:w="535" w:type="dxa"/>
          </w:tcPr>
          <w:p>
            <w:pPr>
              <w:pStyle w:val="TableParagraph"/>
              <w:spacing w:line="233" w:lineRule="exact"/>
              <w:ind w:left="96" w:right="23"/>
              <w:jc w:val="center"/>
              <w:rPr>
                <w:rFonts w:ascii="Bookman Old Style"/>
                <w:b w:val="0"/>
                <w:sz w:val="20"/>
              </w:rPr>
            </w:pPr>
            <w:r>
              <w:rPr>
                <w:rFonts w:ascii="Bookman Old Style"/>
                <w:b w:val="0"/>
                <w:w w:val="55"/>
                <w:sz w:val="20"/>
              </w:rPr>
              <w:t>20000</w:t>
            </w:r>
          </w:p>
        </w:tc>
        <w:tc>
          <w:tcPr>
            <w:tcW w:w="473" w:type="dxa"/>
          </w:tcPr>
          <w:p>
            <w:pPr>
              <w:pStyle w:val="TableParagraph"/>
              <w:spacing w:line="233" w:lineRule="exact"/>
              <w:ind w:left="32" w:right="26"/>
              <w:jc w:val="center"/>
              <w:rPr>
                <w:rFonts w:ascii="Bookman Old Style"/>
                <w:b w:val="0"/>
                <w:sz w:val="20"/>
              </w:rPr>
            </w:pPr>
            <w:r>
              <w:rPr>
                <w:rFonts w:ascii="Bookman Old Style"/>
                <w:b w:val="0"/>
                <w:w w:val="55"/>
                <w:sz w:val="20"/>
              </w:rPr>
              <w:t>20000</w:t>
            </w:r>
          </w:p>
        </w:tc>
        <w:tc>
          <w:tcPr>
            <w:tcW w:w="607" w:type="dxa"/>
          </w:tcPr>
          <w:p>
            <w:pPr>
              <w:pStyle w:val="TableParagraph"/>
              <w:spacing w:line="233" w:lineRule="exact"/>
              <w:ind w:right="59"/>
              <w:jc w:val="right"/>
              <w:rPr>
                <w:rFonts w:ascii="Bookman Old Style"/>
                <w:b w:val="0"/>
                <w:sz w:val="20"/>
              </w:rPr>
            </w:pPr>
            <w:r>
              <w:rPr>
                <w:rFonts w:ascii="Bookman Old Style"/>
                <w:b w:val="0"/>
                <w:w w:val="50"/>
                <w:sz w:val="20"/>
              </w:rPr>
              <w:t>20000</w:t>
            </w:r>
          </w:p>
        </w:tc>
        <w:tc>
          <w:tcPr>
            <w:tcW w:w="602" w:type="dxa"/>
          </w:tcPr>
          <w:p>
            <w:pPr>
              <w:pStyle w:val="TableParagraph"/>
              <w:spacing w:line="233" w:lineRule="exact"/>
              <w:ind w:right="58"/>
              <w:jc w:val="right"/>
              <w:rPr>
                <w:rFonts w:ascii="Bookman Old Style"/>
                <w:b w:val="0"/>
                <w:sz w:val="20"/>
              </w:rPr>
            </w:pPr>
            <w:r>
              <w:rPr>
                <w:rFonts w:ascii="Bookman Old Style"/>
                <w:b w:val="0"/>
                <w:w w:val="50"/>
                <w:sz w:val="20"/>
              </w:rPr>
              <w:t>950000</w:t>
            </w: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20000</w:t>
            </w:r>
          </w:p>
        </w:tc>
        <w:tc>
          <w:tcPr>
            <w:tcW w:w="538" w:type="dxa"/>
          </w:tcPr>
          <w:p>
            <w:pPr>
              <w:pStyle w:val="TableParagraph"/>
              <w:spacing w:line="233" w:lineRule="exact"/>
              <w:ind w:right="61"/>
              <w:jc w:val="right"/>
              <w:rPr>
                <w:rFonts w:ascii="Bookman Old Style"/>
                <w:b w:val="0"/>
                <w:sz w:val="20"/>
              </w:rPr>
            </w:pPr>
            <w:r>
              <w:rPr>
                <w:rFonts w:ascii="Bookman Old Style"/>
                <w:b w:val="0"/>
                <w:w w:val="50"/>
                <w:sz w:val="20"/>
              </w:rPr>
              <w:t>20000</w:t>
            </w:r>
          </w:p>
        </w:tc>
        <w:tc>
          <w:tcPr>
            <w:tcW w:w="603" w:type="dxa"/>
          </w:tcPr>
          <w:p>
            <w:pPr>
              <w:pStyle w:val="TableParagraph"/>
              <w:spacing w:line="233" w:lineRule="exact"/>
              <w:ind w:right="59"/>
              <w:jc w:val="right"/>
              <w:rPr>
                <w:rFonts w:ascii="Bookman Old Style"/>
                <w:b w:val="0"/>
                <w:sz w:val="20"/>
              </w:rPr>
            </w:pPr>
            <w:r>
              <w:rPr>
                <w:rFonts w:ascii="Bookman Old Style"/>
                <w:b w:val="0"/>
                <w:w w:val="50"/>
                <w:sz w:val="20"/>
              </w:rPr>
              <w:t>20000</w:t>
            </w:r>
          </w:p>
        </w:tc>
        <w:tc>
          <w:tcPr>
            <w:tcW w:w="603" w:type="dxa"/>
          </w:tcPr>
          <w:p>
            <w:pPr>
              <w:pStyle w:val="TableParagraph"/>
              <w:spacing w:line="233" w:lineRule="exact"/>
              <w:ind w:right="60"/>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5</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38" w:type="dxa"/>
          </w:tcPr>
          <w:p>
            <w:pPr>
              <w:pStyle w:val="TableParagraph"/>
              <w:spacing w:line="233" w:lineRule="exact"/>
              <w:ind w:right="63"/>
              <w:jc w:val="right"/>
              <w:rPr>
                <w:rFonts w:ascii="Bookman Old Style"/>
                <w:b w:val="0"/>
                <w:sz w:val="20"/>
              </w:rPr>
            </w:pPr>
            <w:r>
              <w:rPr>
                <w:rFonts w:ascii="Bookman Old Style"/>
                <w:b w:val="0"/>
                <w:w w:val="50"/>
                <w:sz w:val="20"/>
              </w:rPr>
              <w:t>20000</w:t>
            </w:r>
          </w:p>
        </w:tc>
        <w:tc>
          <w:tcPr>
            <w:tcW w:w="538" w:type="dxa"/>
          </w:tcPr>
          <w:p>
            <w:pPr>
              <w:pStyle w:val="TableParagraph"/>
              <w:spacing w:line="233" w:lineRule="exact"/>
              <w:ind w:left="95" w:right="28"/>
              <w:jc w:val="center"/>
              <w:rPr>
                <w:rFonts w:ascii="Bookman Old Style"/>
                <w:b w:val="0"/>
                <w:sz w:val="20"/>
              </w:rPr>
            </w:pPr>
            <w:r>
              <w:rPr>
                <w:rFonts w:ascii="Bookman Old Style"/>
                <w:b w:val="0"/>
                <w:w w:val="55"/>
                <w:sz w:val="20"/>
              </w:rPr>
              <w:t>20000</w:t>
            </w:r>
          </w:p>
        </w:tc>
        <w:tc>
          <w:tcPr>
            <w:tcW w:w="539" w:type="dxa"/>
          </w:tcPr>
          <w:p>
            <w:pPr>
              <w:pStyle w:val="TableParagraph"/>
              <w:spacing w:line="233" w:lineRule="exact"/>
              <w:ind w:right="64"/>
              <w:jc w:val="right"/>
              <w:rPr>
                <w:rFonts w:ascii="Bookman Old Style"/>
                <w:b w:val="0"/>
                <w:sz w:val="20"/>
              </w:rPr>
            </w:pPr>
            <w:r>
              <w:rPr>
                <w:rFonts w:ascii="Bookman Old Style"/>
                <w:b w:val="0"/>
                <w:w w:val="50"/>
                <w:sz w:val="20"/>
              </w:rPr>
              <w:t>20000</w:t>
            </w: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950000</w:t>
            </w:r>
          </w:p>
        </w:tc>
        <w:tc>
          <w:tcPr>
            <w:tcW w:w="538" w:type="dxa"/>
          </w:tcPr>
          <w:p>
            <w:pPr>
              <w:pStyle w:val="TableParagraph"/>
              <w:spacing w:line="233" w:lineRule="exact"/>
              <w:ind w:right="65"/>
              <w:jc w:val="right"/>
              <w:rPr>
                <w:rFonts w:ascii="Bookman Old Style"/>
                <w:b w:val="0"/>
                <w:sz w:val="20"/>
              </w:rPr>
            </w:pPr>
            <w:r>
              <w:rPr>
                <w:rFonts w:ascii="Bookman Old Style"/>
                <w:b w:val="0"/>
                <w:w w:val="50"/>
                <w:sz w:val="20"/>
              </w:rPr>
              <w:t>20000</w:t>
            </w:r>
          </w:p>
        </w:tc>
        <w:tc>
          <w:tcPr>
            <w:tcW w:w="536" w:type="dxa"/>
          </w:tcPr>
          <w:p>
            <w:pPr>
              <w:pStyle w:val="TableParagraph"/>
              <w:spacing w:line="233" w:lineRule="exact"/>
              <w:ind w:right="66"/>
              <w:jc w:val="right"/>
              <w:rPr>
                <w:rFonts w:ascii="Bookman Old Style"/>
                <w:b w:val="0"/>
                <w:sz w:val="20"/>
              </w:rPr>
            </w:pPr>
            <w:r>
              <w:rPr>
                <w:rFonts w:ascii="Bookman Old Style"/>
                <w:b w:val="0"/>
                <w:w w:val="50"/>
                <w:sz w:val="20"/>
              </w:rPr>
              <w:t>20000</w:t>
            </w:r>
          </w:p>
        </w:tc>
        <w:tc>
          <w:tcPr>
            <w:tcW w:w="538" w:type="dxa"/>
          </w:tcPr>
          <w:p>
            <w:pPr>
              <w:pStyle w:val="TableParagraph"/>
              <w:spacing w:line="233" w:lineRule="exact"/>
              <w:ind w:right="66"/>
              <w:jc w:val="right"/>
              <w:rPr>
                <w:rFonts w:ascii="Bookman Old Style"/>
                <w:b w:val="0"/>
                <w:sz w:val="20"/>
              </w:rPr>
            </w:pPr>
            <w:r>
              <w:rPr>
                <w:rFonts w:ascii="Bookman Old Style"/>
                <w:b w:val="0"/>
                <w:w w:val="50"/>
                <w:sz w:val="20"/>
              </w:rPr>
              <w:t>20000</w:t>
            </w:r>
          </w:p>
        </w:tc>
        <w:tc>
          <w:tcPr>
            <w:tcW w:w="627" w:type="dxa"/>
          </w:tcPr>
          <w:p>
            <w:pPr>
              <w:pStyle w:val="TableParagraph"/>
              <w:spacing w:line="233" w:lineRule="exact"/>
              <w:ind w:right="64"/>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5</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1001" w:type="dxa"/>
          </w:tcPr>
          <w:p>
            <w:pPr>
              <w:pStyle w:val="TableParagraph"/>
              <w:spacing w:before="5"/>
              <w:ind w:right="65"/>
              <w:jc w:val="right"/>
              <w:rPr>
                <w:rFonts w:ascii="Times New Roman"/>
                <w:b/>
                <w:sz w:val="20"/>
              </w:rPr>
            </w:pPr>
            <w:r>
              <w:rPr>
                <w:rFonts w:ascii="Times New Roman"/>
                <w:b/>
                <w:w w:val="65"/>
                <w:sz w:val="20"/>
              </w:rPr>
              <w:t>3740000</w:t>
            </w:r>
          </w:p>
        </w:tc>
      </w:tr>
      <w:tr>
        <w:trPr>
          <w:trHeight w:val="302" w:hRule="atLeast"/>
        </w:trPr>
        <w:tc>
          <w:tcPr>
            <w:tcW w:w="1042" w:type="dxa"/>
            <w:vMerge/>
            <w:tcBorders>
              <w:top w:val="nil"/>
            </w:tcBorders>
          </w:tcPr>
          <w:p>
            <w:pPr>
              <w:rPr>
                <w:sz w:val="2"/>
                <w:szCs w:val="2"/>
              </w:rPr>
            </w:pPr>
          </w:p>
        </w:tc>
        <w:tc>
          <w:tcPr>
            <w:tcW w:w="840" w:type="dxa"/>
            <w:shd w:val="clear" w:color="auto" w:fill="E1EEDA"/>
          </w:tcPr>
          <w:p>
            <w:pPr>
              <w:pStyle w:val="TableParagraph"/>
              <w:spacing w:line="210" w:lineRule="exact"/>
              <w:ind w:left="30" w:right="30"/>
              <w:jc w:val="center"/>
              <w:rPr>
                <w:rFonts w:ascii="Bookman Old Style"/>
                <w:b w:val="0"/>
                <w:sz w:val="18"/>
              </w:rPr>
            </w:pPr>
            <w:r>
              <w:rPr>
                <w:rFonts w:ascii="Bookman Old Style"/>
                <w:b w:val="0"/>
                <w:w w:val="65"/>
                <w:sz w:val="18"/>
              </w:rPr>
              <w:t>16</w:t>
            </w:r>
          </w:p>
        </w:tc>
        <w:tc>
          <w:tcPr>
            <w:tcW w:w="499" w:type="dxa"/>
          </w:tcPr>
          <w:p>
            <w:pPr>
              <w:pStyle w:val="TableParagraph"/>
              <w:spacing w:line="234" w:lineRule="exact"/>
              <w:ind w:right="59"/>
              <w:jc w:val="right"/>
              <w:rPr>
                <w:rFonts w:ascii="Bookman Old Style"/>
                <w:b w:val="0"/>
                <w:sz w:val="20"/>
              </w:rPr>
            </w:pPr>
            <w:r>
              <w:rPr>
                <w:rFonts w:ascii="Bookman Old Style"/>
                <w:b w:val="0"/>
                <w:w w:val="50"/>
                <w:sz w:val="20"/>
              </w:rPr>
              <w:t>5000</w:t>
            </w:r>
          </w:p>
        </w:tc>
        <w:tc>
          <w:tcPr>
            <w:tcW w:w="602" w:type="dxa"/>
          </w:tcPr>
          <w:p>
            <w:pPr>
              <w:pStyle w:val="TableParagraph"/>
              <w:spacing w:line="234" w:lineRule="exact"/>
              <w:ind w:right="61"/>
              <w:jc w:val="right"/>
              <w:rPr>
                <w:rFonts w:ascii="Bookman Old Style"/>
                <w:b w:val="0"/>
                <w:sz w:val="20"/>
              </w:rPr>
            </w:pPr>
            <w:r>
              <w:rPr>
                <w:rFonts w:ascii="Bookman Old Style"/>
                <w:b w:val="0"/>
                <w:w w:val="50"/>
                <w:sz w:val="20"/>
              </w:rPr>
              <w:t>15000</w:t>
            </w:r>
          </w:p>
        </w:tc>
        <w:tc>
          <w:tcPr>
            <w:tcW w:w="603" w:type="dxa"/>
          </w:tcPr>
          <w:p>
            <w:pPr>
              <w:pStyle w:val="TableParagraph"/>
              <w:spacing w:line="234" w:lineRule="exact"/>
              <w:ind w:right="59"/>
              <w:jc w:val="right"/>
              <w:rPr>
                <w:rFonts w:ascii="Bookman Old Style"/>
                <w:b w:val="0"/>
                <w:sz w:val="20"/>
              </w:rPr>
            </w:pPr>
            <w:r>
              <w:rPr>
                <w:rFonts w:ascii="Bookman Old Style"/>
                <w:b w:val="0"/>
                <w:w w:val="50"/>
                <w:sz w:val="20"/>
              </w:rPr>
              <w:t>5000</w:t>
            </w:r>
          </w:p>
        </w:tc>
        <w:tc>
          <w:tcPr>
            <w:tcW w:w="605" w:type="dxa"/>
          </w:tcPr>
          <w:p>
            <w:pPr>
              <w:pStyle w:val="TableParagraph"/>
              <w:spacing w:line="234" w:lineRule="exact"/>
              <w:ind w:right="61"/>
              <w:jc w:val="right"/>
              <w:rPr>
                <w:rFonts w:ascii="Bookman Old Style"/>
                <w:b w:val="0"/>
                <w:sz w:val="20"/>
              </w:rPr>
            </w:pPr>
            <w:r>
              <w:rPr>
                <w:rFonts w:ascii="Bookman Old Style"/>
                <w:b w:val="0"/>
                <w:w w:val="50"/>
                <w:sz w:val="20"/>
              </w:rPr>
              <w:t>5000</w:t>
            </w:r>
          </w:p>
        </w:tc>
        <w:tc>
          <w:tcPr>
            <w:tcW w:w="535" w:type="dxa"/>
          </w:tcPr>
          <w:p>
            <w:pPr>
              <w:pStyle w:val="TableParagraph"/>
              <w:spacing w:line="234" w:lineRule="exact"/>
              <w:ind w:left="163" w:right="23"/>
              <w:jc w:val="center"/>
              <w:rPr>
                <w:rFonts w:ascii="Bookman Old Style"/>
                <w:b w:val="0"/>
                <w:sz w:val="20"/>
              </w:rPr>
            </w:pPr>
            <w:r>
              <w:rPr>
                <w:rFonts w:ascii="Bookman Old Style"/>
                <w:b w:val="0"/>
                <w:w w:val="60"/>
                <w:sz w:val="20"/>
              </w:rPr>
              <w:t>5000</w:t>
            </w:r>
          </w:p>
        </w:tc>
        <w:tc>
          <w:tcPr>
            <w:tcW w:w="473" w:type="dxa"/>
          </w:tcPr>
          <w:p>
            <w:pPr>
              <w:pStyle w:val="TableParagraph"/>
              <w:spacing w:line="234" w:lineRule="exact"/>
              <w:ind w:left="32" w:right="26"/>
              <w:jc w:val="center"/>
              <w:rPr>
                <w:rFonts w:ascii="Bookman Old Style"/>
                <w:b w:val="0"/>
                <w:sz w:val="20"/>
              </w:rPr>
            </w:pPr>
            <w:r>
              <w:rPr>
                <w:rFonts w:ascii="Bookman Old Style"/>
                <w:b w:val="0"/>
                <w:w w:val="55"/>
                <w:sz w:val="20"/>
              </w:rPr>
              <w:t>25000</w:t>
            </w:r>
          </w:p>
        </w:tc>
        <w:tc>
          <w:tcPr>
            <w:tcW w:w="607" w:type="dxa"/>
          </w:tcPr>
          <w:p>
            <w:pPr>
              <w:pStyle w:val="TableParagraph"/>
              <w:spacing w:line="234" w:lineRule="exact"/>
              <w:ind w:right="59"/>
              <w:jc w:val="right"/>
              <w:rPr>
                <w:rFonts w:ascii="Bookman Old Style"/>
                <w:b w:val="0"/>
                <w:sz w:val="20"/>
              </w:rPr>
            </w:pPr>
            <w:r>
              <w:rPr>
                <w:rFonts w:ascii="Bookman Old Style"/>
                <w:b w:val="0"/>
                <w:w w:val="50"/>
                <w:sz w:val="20"/>
              </w:rPr>
              <w:t>5000</w:t>
            </w:r>
          </w:p>
        </w:tc>
        <w:tc>
          <w:tcPr>
            <w:tcW w:w="602" w:type="dxa"/>
          </w:tcPr>
          <w:p>
            <w:pPr>
              <w:pStyle w:val="TableParagraph"/>
              <w:spacing w:line="234" w:lineRule="exact"/>
              <w:ind w:right="58"/>
              <w:jc w:val="right"/>
              <w:rPr>
                <w:rFonts w:ascii="Bookman Old Style"/>
                <w:b w:val="0"/>
                <w:sz w:val="20"/>
              </w:rPr>
            </w:pPr>
            <w:r>
              <w:rPr>
                <w:rFonts w:ascii="Bookman Old Style"/>
                <w:b w:val="0"/>
                <w:w w:val="50"/>
                <w:sz w:val="20"/>
              </w:rPr>
              <w:t>5000</w:t>
            </w:r>
          </w:p>
        </w:tc>
        <w:tc>
          <w:tcPr>
            <w:tcW w:w="538" w:type="dxa"/>
          </w:tcPr>
          <w:p>
            <w:pPr>
              <w:pStyle w:val="TableParagraph"/>
              <w:spacing w:line="234" w:lineRule="exact"/>
              <w:ind w:right="61"/>
              <w:jc w:val="right"/>
              <w:rPr>
                <w:rFonts w:ascii="Bookman Old Style"/>
                <w:b w:val="0"/>
                <w:sz w:val="20"/>
              </w:rPr>
            </w:pPr>
            <w:r>
              <w:rPr>
                <w:rFonts w:ascii="Bookman Old Style"/>
                <w:b w:val="0"/>
                <w:w w:val="50"/>
                <w:sz w:val="20"/>
              </w:rPr>
              <w:t>5000</w:t>
            </w:r>
          </w:p>
        </w:tc>
        <w:tc>
          <w:tcPr>
            <w:tcW w:w="538" w:type="dxa"/>
          </w:tcPr>
          <w:p>
            <w:pPr>
              <w:pStyle w:val="TableParagraph"/>
              <w:spacing w:line="234" w:lineRule="exact"/>
              <w:ind w:right="61"/>
              <w:jc w:val="right"/>
              <w:rPr>
                <w:rFonts w:ascii="Bookman Old Style"/>
                <w:b w:val="0"/>
                <w:sz w:val="20"/>
              </w:rPr>
            </w:pPr>
            <w:r>
              <w:rPr>
                <w:rFonts w:ascii="Bookman Old Style"/>
                <w:b w:val="0"/>
                <w:w w:val="50"/>
                <w:sz w:val="20"/>
              </w:rPr>
              <w:t>20000</w:t>
            </w:r>
          </w:p>
        </w:tc>
        <w:tc>
          <w:tcPr>
            <w:tcW w:w="603" w:type="dxa"/>
          </w:tcPr>
          <w:p>
            <w:pPr>
              <w:pStyle w:val="TableParagraph"/>
              <w:spacing w:line="234" w:lineRule="exact"/>
              <w:ind w:right="59"/>
              <w:jc w:val="right"/>
              <w:rPr>
                <w:rFonts w:ascii="Bookman Old Style"/>
                <w:b w:val="0"/>
                <w:sz w:val="20"/>
              </w:rPr>
            </w:pPr>
            <w:r>
              <w:rPr>
                <w:rFonts w:ascii="Bookman Old Style"/>
                <w:b w:val="0"/>
                <w:w w:val="50"/>
                <w:sz w:val="20"/>
              </w:rPr>
              <w:t>5000</w:t>
            </w:r>
          </w:p>
        </w:tc>
        <w:tc>
          <w:tcPr>
            <w:tcW w:w="603" w:type="dxa"/>
          </w:tcPr>
          <w:p>
            <w:pPr>
              <w:pStyle w:val="TableParagraph"/>
              <w:spacing w:line="234" w:lineRule="exact"/>
              <w:ind w:right="60"/>
              <w:jc w:val="right"/>
              <w:rPr>
                <w:rFonts w:ascii="Bookman Old Style"/>
                <w:b w:val="0"/>
                <w:sz w:val="20"/>
              </w:rPr>
            </w:pPr>
            <w:r>
              <w:rPr>
                <w:rFonts w:ascii="Bookman Old Style"/>
                <w:b w:val="0"/>
                <w:w w:val="50"/>
                <w:sz w:val="20"/>
              </w:rPr>
              <w:t>5000</w:t>
            </w:r>
          </w:p>
        </w:tc>
        <w:tc>
          <w:tcPr>
            <w:tcW w:w="538" w:type="dxa"/>
          </w:tcPr>
          <w:p>
            <w:pPr>
              <w:pStyle w:val="TableParagraph"/>
              <w:spacing w:line="234" w:lineRule="exact"/>
              <w:ind w:right="63"/>
              <w:jc w:val="right"/>
              <w:rPr>
                <w:rFonts w:ascii="Bookman Old Style"/>
                <w:b w:val="0"/>
                <w:sz w:val="20"/>
              </w:rPr>
            </w:pPr>
            <w:r>
              <w:rPr>
                <w:rFonts w:ascii="Bookman Old Style"/>
                <w:b w:val="0"/>
                <w:w w:val="50"/>
                <w:sz w:val="20"/>
              </w:rPr>
              <w:t>5000</w:t>
            </w:r>
          </w:p>
        </w:tc>
        <w:tc>
          <w:tcPr>
            <w:tcW w:w="538" w:type="dxa"/>
          </w:tcPr>
          <w:p>
            <w:pPr>
              <w:pStyle w:val="TableParagraph"/>
              <w:spacing w:line="234" w:lineRule="exact"/>
              <w:ind w:left="95" w:right="28"/>
              <w:jc w:val="center"/>
              <w:rPr>
                <w:rFonts w:ascii="Bookman Old Style"/>
                <w:b w:val="0"/>
                <w:sz w:val="20"/>
              </w:rPr>
            </w:pPr>
            <w:r>
              <w:rPr>
                <w:rFonts w:ascii="Bookman Old Style"/>
                <w:b w:val="0"/>
                <w:w w:val="55"/>
                <w:sz w:val="20"/>
              </w:rPr>
              <w:t>20000</w:t>
            </w:r>
          </w:p>
        </w:tc>
        <w:tc>
          <w:tcPr>
            <w:tcW w:w="539" w:type="dxa"/>
          </w:tcPr>
          <w:p>
            <w:pPr>
              <w:pStyle w:val="TableParagraph"/>
              <w:spacing w:line="234" w:lineRule="exact"/>
              <w:ind w:right="64"/>
              <w:jc w:val="right"/>
              <w:rPr>
                <w:rFonts w:ascii="Bookman Old Style"/>
                <w:b w:val="0"/>
                <w:sz w:val="20"/>
              </w:rPr>
            </w:pPr>
            <w:r>
              <w:rPr>
                <w:rFonts w:ascii="Bookman Old Style"/>
                <w:b w:val="0"/>
                <w:w w:val="50"/>
                <w:sz w:val="20"/>
              </w:rPr>
              <w:t>5000</w:t>
            </w:r>
          </w:p>
        </w:tc>
        <w:tc>
          <w:tcPr>
            <w:tcW w:w="603" w:type="dxa"/>
          </w:tcPr>
          <w:p>
            <w:pPr>
              <w:pStyle w:val="TableParagraph"/>
              <w:spacing w:line="234" w:lineRule="exact"/>
              <w:ind w:right="64"/>
              <w:jc w:val="right"/>
              <w:rPr>
                <w:rFonts w:ascii="Bookman Old Style"/>
                <w:b w:val="0"/>
                <w:sz w:val="20"/>
              </w:rPr>
            </w:pPr>
            <w:r>
              <w:rPr>
                <w:rFonts w:ascii="Bookman Old Style"/>
                <w:b w:val="0"/>
                <w:w w:val="50"/>
                <w:sz w:val="20"/>
              </w:rPr>
              <w:t>5000</w:t>
            </w:r>
          </w:p>
        </w:tc>
        <w:tc>
          <w:tcPr>
            <w:tcW w:w="538" w:type="dxa"/>
          </w:tcPr>
          <w:p>
            <w:pPr>
              <w:pStyle w:val="TableParagraph"/>
              <w:spacing w:line="234" w:lineRule="exact"/>
              <w:ind w:right="65"/>
              <w:jc w:val="right"/>
              <w:rPr>
                <w:rFonts w:ascii="Bookman Old Style"/>
                <w:b w:val="0"/>
                <w:sz w:val="20"/>
              </w:rPr>
            </w:pPr>
            <w:r>
              <w:rPr>
                <w:rFonts w:ascii="Bookman Old Style"/>
                <w:b w:val="0"/>
                <w:w w:val="50"/>
                <w:sz w:val="20"/>
              </w:rPr>
              <w:t>5000</w:t>
            </w:r>
          </w:p>
        </w:tc>
        <w:tc>
          <w:tcPr>
            <w:tcW w:w="536" w:type="dxa"/>
          </w:tcPr>
          <w:p>
            <w:pPr>
              <w:pStyle w:val="TableParagraph"/>
              <w:spacing w:line="234" w:lineRule="exact"/>
              <w:ind w:right="66"/>
              <w:jc w:val="right"/>
              <w:rPr>
                <w:rFonts w:ascii="Bookman Old Style"/>
                <w:b w:val="0"/>
                <w:sz w:val="20"/>
              </w:rPr>
            </w:pPr>
            <w:r>
              <w:rPr>
                <w:rFonts w:ascii="Bookman Old Style"/>
                <w:b w:val="0"/>
                <w:w w:val="50"/>
                <w:sz w:val="20"/>
              </w:rPr>
              <w:t>25000</w:t>
            </w:r>
          </w:p>
        </w:tc>
        <w:tc>
          <w:tcPr>
            <w:tcW w:w="538" w:type="dxa"/>
          </w:tcPr>
          <w:p>
            <w:pPr>
              <w:pStyle w:val="TableParagraph"/>
              <w:spacing w:line="234" w:lineRule="exact"/>
              <w:ind w:right="66"/>
              <w:jc w:val="right"/>
              <w:rPr>
                <w:rFonts w:ascii="Bookman Old Style"/>
                <w:b w:val="0"/>
                <w:sz w:val="20"/>
              </w:rPr>
            </w:pPr>
            <w:r>
              <w:rPr>
                <w:rFonts w:ascii="Bookman Old Style"/>
                <w:b w:val="0"/>
                <w:w w:val="50"/>
                <w:sz w:val="20"/>
              </w:rPr>
              <w:t>5000</w:t>
            </w:r>
          </w:p>
        </w:tc>
        <w:tc>
          <w:tcPr>
            <w:tcW w:w="627" w:type="dxa"/>
          </w:tcPr>
          <w:p>
            <w:pPr>
              <w:pStyle w:val="TableParagraph"/>
              <w:spacing w:line="234" w:lineRule="exact"/>
              <w:ind w:right="64"/>
              <w:jc w:val="right"/>
              <w:rPr>
                <w:rFonts w:ascii="Bookman Old Style"/>
                <w:b w:val="0"/>
                <w:sz w:val="20"/>
              </w:rPr>
            </w:pPr>
            <w:r>
              <w:rPr>
                <w:rFonts w:ascii="Bookman Old Style"/>
                <w:b w:val="0"/>
                <w:w w:val="50"/>
                <w:sz w:val="20"/>
              </w:rPr>
              <w:t>25000</w:t>
            </w:r>
          </w:p>
        </w:tc>
        <w:tc>
          <w:tcPr>
            <w:tcW w:w="1001" w:type="dxa"/>
          </w:tcPr>
          <w:p>
            <w:pPr>
              <w:pStyle w:val="TableParagraph"/>
              <w:spacing w:before="5"/>
              <w:ind w:right="64"/>
              <w:jc w:val="right"/>
              <w:rPr>
                <w:rFonts w:ascii="Times New Roman"/>
                <w:b/>
                <w:sz w:val="20"/>
              </w:rPr>
            </w:pPr>
            <w:r>
              <w:rPr>
                <w:rFonts w:ascii="Times New Roman"/>
                <w:b/>
                <w:w w:val="65"/>
                <w:sz w:val="20"/>
              </w:rPr>
              <w:t>200000</w:t>
            </w:r>
          </w:p>
        </w:tc>
      </w:tr>
    </w:tbl>
    <w:p>
      <w:pPr>
        <w:spacing w:after="0"/>
        <w:jc w:val="right"/>
        <w:rPr>
          <w:rFonts w:ascii="Times New Roman"/>
          <w:sz w:val="20"/>
        </w:rPr>
        <w:sectPr>
          <w:pgSz w:w="16840" w:h="11910" w:orient="landscape"/>
          <w:pgMar w:header="0" w:footer="923" w:top="1100" w:bottom="1200" w:left="1240" w:right="12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972"/>
        <w:gridCol w:w="538"/>
        <w:gridCol w:w="536"/>
        <w:gridCol w:w="597"/>
        <w:gridCol w:w="671"/>
        <w:gridCol w:w="472"/>
        <w:gridCol w:w="431"/>
        <w:gridCol w:w="609"/>
        <w:gridCol w:w="669"/>
        <w:gridCol w:w="501"/>
        <w:gridCol w:w="501"/>
        <w:gridCol w:w="599"/>
        <w:gridCol w:w="669"/>
        <w:gridCol w:w="479"/>
        <w:gridCol w:w="503"/>
        <w:gridCol w:w="516"/>
        <w:gridCol w:w="671"/>
        <w:gridCol w:w="501"/>
        <w:gridCol w:w="479"/>
        <w:gridCol w:w="551"/>
        <w:gridCol w:w="669"/>
        <w:gridCol w:w="1002"/>
      </w:tblGrid>
      <w:tr>
        <w:trPr>
          <w:trHeight w:val="539" w:hRule="atLeast"/>
        </w:trPr>
        <w:tc>
          <w:tcPr>
            <w:tcW w:w="1037" w:type="dxa"/>
            <w:shd w:val="clear" w:color="auto" w:fill="FFFF00"/>
          </w:tcPr>
          <w:p>
            <w:pPr>
              <w:pStyle w:val="TableParagraph"/>
              <w:spacing w:line="290" w:lineRule="auto" w:before="2"/>
              <w:ind w:left="69" w:right="248"/>
              <w:rPr>
                <w:rFonts w:ascii="Times New Roman"/>
                <w:b/>
                <w:sz w:val="18"/>
              </w:rPr>
            </w:pPr>
            <w:r>
              <w:rPr>
                <w:rFonts w:ascii="Times New Roman"/>
                <w:b/>
                <w:w w:val="65"/>
                <w:sz w:val="18"/>
              </w:rPr>
              <w:t>DIMENSION </w:t>
            </w:r>
            <w:r>
              <w:rPr>
                <w:rFonts w:ascii="Times New Roman"/>
                <w:b/>
                <w:w w:val="75"/>
                <w:sz w:val="18"/>
              </w:rPr>
              <w:t>ATIY</w:t>
            </w:r>
          </w:p>
        </w:tc>
        <w:tc>
          <w:tcPr>
            <w:tcW w:w="972" w:type="dxa"/>
            <w:shd w:val="clear" w:color="auto" w:fill="FFFF00"/>
          </w:tcPr>
          <w:p>
            <w:pPr>
              <w:pStyle w:val="TableParagraph"/>
              <w:rPr>
                <w:rFonts w:ascii="Times New Roman"/>
                <w:sz w:val="18"/>
              </w:rPr>
            </w:pPr>
          </w:p>
        </w:tc>
        <w:tc>
          <w:tcPr>
            <w:tcW w:w="2342" w:type="dxa"/>
            <w:gridSpan w:val="4"/>
            <w:tcBorders>
              <w:top w:val="single" w:sz="8" w:space="0" w:color="000000"/>
              <w:right w:val="nil"/>
            </w:tcBorders>
            <w:shd w:val="clear" w:color="auto" w:fill="6F2F9F"/>
          </w:tcPr>
          <w:p>
            <w:pPr>
              <w:pStyle w:val="TableParagraph"/>
              <w:spacing w:line="209" w:lineRule="exact"/>
              <w:ind w:left="624"/>
              <w:rPr>
                <w:rFonts w:ascii="Bookman Old Style" w:hAnsi="Bookman Old Style"/>
                <w:b w:val="0"/>
                <w:sz w:val="18"/>
              </w:rPr>
            </w:pPr>
            <w:r>
              <w:rPr>
                <w:rFonts w:ascii="Bookman Old Style" w:hAnsi="Bookman Old Style"/>
                <w:b w:val="0"/>
                <w:color w:val="FFFFFF"/>
                <w:w w:val="65"/>
                <w:sz w:val="18"/>
              </w:rPr>
              <w:t>año 1 (por trimestres)</w:t>
            </w:r>
          </w:p>
        </w:tc>
        <w:tc>
          <w:tcPr>
            <w:tcW w:w="2181" w:type="dxa"/>
            <w:gridSpan w:val="4"/>
            <w:tcBorders>
              <w:top w:val="single" w:sz="8" w:space="0" w:color="000000"/>
              <w:left w:val="nil"/>
              <w:right w:val="nil"/>
            </w:tcBorders>
            <w:shd w:val="clear" w:color="auto" w:fill="C55811"/>
          </w:tcPr>
          <w:p>
            <w:pPr>
              <w:pStyle w:val="TableParagraph"/>
              <w:spacing w:line="209" w:lineRule="exact"/>
              <w:ind w:left="546"/>
              <w:rPr>
                <w:rFonts w:ascii="Bookman Old Style" w:hAnsi="Bookman Old Style"/>
                <w:b w:val="0"/>
                <w:sz w:val="18"/>
              </w:rPr>
            </w:pPr>
            <w:r>
              <w:rPr>
                <w:rFonts w:ascii="Bookman Old Style" w:hAnsi="Bookman Old Style"/>
                <w:b w:val="0"/>
                <w:color w:val="FFFFFF"/>
                <w:w w:val="65"/>
                <w:sz w:val="18"/>
              </w:rPr>
              <w:t>año 2 (por trimestres)</w:t>
            </w:r>
          </w:p>
        </w:tc>
        <w:tc>
          <w:tcPr>
            <w:tcW w:w="2270" w:type="dxa"/>
            <w:gridSpan w:val="4"/>
            <w:tcBorders>
              <w:top w:val="single" w:sz="8" w:space="0" w:color="000000"/>
              <w:left w:val="nil"/>
              <w:right w:val="single" w:sz="8" w:space="0" w:color="000000"/>
            </w:tcBorders>
          </w:tcPr>
          <w:p>
            <w:pPr>
              <w:pStyle w:val="TableParagraph"/>
              <w:spacing w:line="209" w:lineRule="exact"/>
              <w:ind w:left="582"/>
              <w:rPr>
                <w:rFonts w:ascii="Bookman Old Style" w:hAnsi="Bookman Old Style"/>
                <w:b w:val="0"/>
                <w:sz w:val="18"/>
              </w:rPr>
            </w:pPr>
            <w:r>
              <w:rPr>
                <w:rFonts w:ascii="Bookman Old Style" w:hAnsi="Bookman Old Style"/>
                <w:b w:val="0"/>
                <w:w w:val="65"/>
                <w:sz w:val="18"/>
              </w:rPr>
              <w:t>año 3 (por trimestres)</w:t>
            </w:r>
          </w:p>
        </w:tc>
        <w:tc>
          <w:tcPr>
            <w:tcW w:w="2169" w:type="dxa"/>
            <w:gridSpan w:val="4"/>
            <w:tcBorders>
              <w:top w:val="single" w:sz="8" w:space="0" w:color="000000"/>
              <w:left w:val="single" w:sz="8" w:space="0" w:color="000000"/>
              <w:right w:val="single" w:sz="8" w:space="0" w:color="000000"/>
            </w:tcBorders>
            <w:shd w:val="clear" w:color="auto" w:fill="66FF33"/>
          </w:tcPr>
          <w:p>
            <w:pPr>
              <w:pStyle w:val="TableParagraph"/>
              <w:spacing w:line="209" w:lineRule="exact"/>
              <w:ind w:left="515"/>
              <w:rPr>
                <w:rFonts w:ascii="Bookman Old Style" w:hAnsi="Bookman Old Style"/>
                <w:b w:val="0"/>
                <w:sz w:val="18"/>
              </w:rPr>
            </w:pPr>
            <w:r>
              <w:rPr>
                <w:rFonts w:ascii="Bookman Old Style" w:hAnsi="Bookman Old Style"/>
                <w:b w:val="0"/>
                <w:w w:val="50"/>
                <w:sz w:val="18"/>
              </w:rPr>
              <w:t>añ</w:t>
            </w:r>
            <w:r>
              <w:rPr>
                <w:rFonts w:ascii="Bookman Old Style" w:hAnsi="Bookman Old Style"/>
                <w:b w:val="0"/>
                <w:w w:val="58"/>
                <w:sz w:val="18"/>
              </w:rPr>
              <w:t>o</w:t>
            </w:r>
            <w:r>
              <w:rPr>
                <w:rFonts w:ascii="Bookman Old Style" w:hAnsi="Bookman Old Style"/>
                <w:b w:val="0"/>
                <w:spacing w:val="-29"/>
                <w:sz w:val="18"/>
              </w:rPr>
              <w:t> </w:t>
            </w:r>
            <w:r>
              <w:rPr>
                <w:rFonts w:ascii="Bookman Old Style" w:hAnsi="Bookman Old Style"/>
                <w:b w:val="0"/>
                <w:smallCaps/>
                <w:w w:val="53"/>
                <w:sz w:val="18"/>
              </w:rPr>
              <w:t>4</w:t>
            </w:r>
            <w:r>
              <w:rPr>
                <w:rFonts w:ascii="Bookman Old Style" w:hAnsi="Bookman Old Style"/>
                <w:b w:val="0"/>
                <w:smallCaps w:val="0"/>
                <w:sz w:val="18"/>
              </w:rPr>
              <w:t> </w:t>
            </w:r>
            <w:r>
              <w:rPr>
                <w:rFonts w:ascii="Bookman Old Style" w:hAnsi="Bookman Old Style"/>
                <w:b w:val="0"/>
                <w:smallCaps w:val="0"/>
                <w:spacing w:val="-29"/>
                <w:sz w:val="18"/>
              </w:rPr>
              <w:t> </w:t>
            </w:r>
            <w:r>
              <w:rPr>
                <w:rFonts w:ascii="Bookman Old Style" w:hAnsi="Bookman Old Style"/>
                <w:b w:val="0"/>
                <w:smallCaps w:val="0"/>
                <w:spacing w:val="-2"/>
                <w:w w:val="73"/>
                <w:sz w:val="18"/>
              </w:rPr>
              <w:t>(</w:t>
            </w:r>
            <w:r>
              <w:rPr>
                <w:rFonts w:ascii="Bookman Old Style" w:hAnsi="Bookman Old Style"/>
                <w:b w:val="0"/>
                <w:smallCaps w:val="0"/>
                <w:w w:val="53"/>
                <w:sz w:val="18"/>
              </w:rPr>
              <w:t>p</w:t>
            </w:r>
            <w:r>
              <w:rPr>
                <w:rFonts w:ascii="Bookman Old Style" w:hAnsi="Bookman Old Style"/>
                <w:b w:val="0"/>
                <w:smallCaps w:val="0"/>
                <w:w w:val="58"/>
                <w:sz w:val="18"/>
              </w:rPr>
              <w:t>o</w:t>
            </w:r>
            <w:r>
              <w:rPr>
                <w:rFonts w:ascii="Bookman Old Style" w:hAnsi="Bookman Old Style"/>
                <w:b w:val="0"/>
                <w:smallCaps w:val="0"/>
                <w:w w:val="49"/>
                <w:sz w:val="18"/>
              </w:rPr>
              <w:t>r</w:t>
            </w:r>
            <w:r>
              <w:rPr>
                <w:rFonts w:ascii="Bookman Old Style" w:hAnsi="Bookman Old Style"/>
                <w:b w:val="0"/>
                <w:smallCaps w:val="0"/>
                <w:spacing w:val="-28"/>
                <w:sz w:val="18"/>
              </w:rPr>
              <w:t> </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61"/>
                <w:sz w:val="18"/>
              </w:rPr>
              <w:t>i</w:t>
            </w:r>
            <w:r>
              <w:rPr>
                <w:rFonts w:ascii="Bookman Old Style" w:hAnsi="Bookman Old Style"/>
                <w:b w:val="0"/>
                <w:smallCaps w:val="0"/>
                <w:spacing w:val="1"/>
                <w:w w:val="54"/>
                <w:sz w:val="18"/>
              </w:rPr>
              <w:t>m</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73"/>
                <w:sz w:val="18"/>
              </w:rPr>
              <w:t>)</w:t>
            </w:r>
          </w:p>
        </w:tc>
        <w:tc>
          <w:tcPr>
            <w:tcW w:w="2200" w:type="dxa"/>
            <w:gridSpan w:val="4"/>
            <w:tcBorders>
              <w:top w:val="single" w:sz="8" w:space="0" w:color="000000"/>
              <w:left w:val="single" w:sz="8" w:space="0" w:color="000000"/>
            </w:tcBorders>
            <w:shd w:val="clear" w:color="auto" w:fill="FF3300"/>
          </w:tcPr>
          <w:p>
            <w:pPr>
              <w:pStyle w:val="TableParagraph"/>
              <w:spacing w:line="209" w:lineRule="exact"/>
              <w:ind w:left="526"/>
              <w:rPr>
                <w:rFonts w:ascii="Bookman Old Style" w:hAnsi="Bookman Old Style"/>
                <w:b w:val="0"/>
                <w:sz w:val="18"/>
              </w:rPr>
            </w:pPr>
            <w:r>
              <w:rPr>
                <w:rFonts w:ascii="Bookman Old Style" w:hAnsi="Bookman Old Style"/>
                <w:b w:val="0"/>
                <w:w w:val="65"/>
                <w:sz w:val="18"/>
              </w:rPr>
              <w:t>año 5 (por trimestres)</w:t>
            </w:r>
          </w:p>
        </w:tc>
        <w:tc>
          <w:tcPr>
            <w:tcW w:w="1002" w:type="dxa"/>
            <w:tcBorders>
              <w:top w:val="single" w:sz="8" w:space="0" w:color="000000"/>
              <w:right w:val="single" w:sz="8" w:space="0" w:color="000000"/>
            </w:tcBorders>
          </w:tcPr>
          <w:p>
            <w:pPr>
              <w:pStyle w:val="TableParagraph"/>
              <w:spacing w:line="290" w:lineRule="auto" w:before="2"/>
              <w:ind w:left="40" w:right="123"/>
              <w:rPr>
                <w:rFonts w:ascii="Times New Roman"/>
                <w:b/>
                <w:sz w:val="18"/>
              </w:rPr>
            </w:pPr>
            <w:r>
              <w:rPr>
                <w:rFonts w:ascii="Times New Roman"/>
                <w:b/>
                <w:w w:val="65"/>
                <w:sz w:val="18"/>
              </w:rPr>
              <w:t>Subsubtotal por </w:t>
            </w:r>
            <w:r>
              <w:rPr>
                <w:rFonts w:ascii="Times New Roman"/>
                <w:b/>
                <w:w w:val="75"/>
                <w:sz w:val="18"/>
              </w:rPr>
              <w:t>actividad</w:t>
            </w:r>
          </w:p>
        </w:tc>
      </w:tr>
      <w:tr>
        <w:trPr>
          <w:trHeight w:val="839" w:hRule="atLeast"/>
        </w:trPr>
        <w:tc>
          <w:tcPr>
            <w:tcW w:w="1037" w:type="dxa"/>
            <w:shd w:val="clear" w:color="auto" w:fill="FFFF00"/>
          </w:tcPr>
          <w:p>
            <w:pPr>
              <w:pStyle w:val="TableParagraph"/>
              <w:spacing w:before="2"/>
              <w:ind w:left="69"/>
              <w:rPr>
                <w:rFonts w:ascii="Times New Roman"/>
                <w:b/>
                <w:sz w:val="18"/>
              </w:rPr>
            </w:pPr>
            <w:r>
              <w:rPr>
                <w:rFonts w:ascii="Times New Roman"/>
                <w:b/>
                <w:w w:val="70"/>
                <w:sz w:val="18"/>
              </w:rPr>
              <w:t>RESULTADOS</w:t>
            </w:r>
          </w:p>
        </w:tc>
        <w:tc>
          <w:tcPr>
            <w:tcW w:w="972" w:type="dxa"/>
            <w:shd w:val="clear" w:color="auto" w:fill="FFFF00"/>
          </w:tcPr>
          <w:p>
            <w:pPr>
              <w:pStyle w:val="TableParagraph"/>
              <w:spacing w:before="2"/>
              <w:ind w:left="56" w:right="46"/>
              <w:jc w:val="center"/>
              <w:rPr>
                <w:rFonts w:ascii="Times New Roman"/>
                <w:b/>
                <w:sz w:val="18"/>
              </w:rPr>
            </w:pPr>
            <w:r>
              <w:rPr>
                <w:rFonts w:ascii="Times New Roman"/>
                <w:b/>
                <w:w w:val="65"/>
                <w:sz w:val="18"/>
              </w:rPr>
              <w:t>ACTIVIDADES</w:t>
            </w:r>
          </w:p>
        </w:tc>
        <w:tc>
          <w:tcPr>
            <w:tcW w:w="538" w:type="dxa"/>
          </w:tcPr>
          <w:p>
            <w:pPr>
              <w:pStyle w:val="TableParagraph"/>
              <w:spacing w:before="5"/>
              <w:ind w:left="3"/>
              <w:jc w:val="center"/>
              <w:rPr>
                <w:rFonts w:ascii="Times New Roman"/>
                <w:b/>
                <w:sz w:val="20"/>
              </w:rPr>
            </w:pPr>
            <w:r>
              <w:rPr>
                <w:rFonts w:ascii="Times New Roman"/>
                <w:b/>
                <w:w w:val="65"/>
                <w:sz w:val="20"/>
              </w:rPr>
              <w:t>1</w:t>
            </w:r>
          </w:p>
        </w:tc>
        <w:tc>
          <w:tcPr>
            <w:tcW w:w="536" w:type="dxa"/>
          </w:tcPr>
          <w:p>
            <w:pPr>
              <w:pStyle w:val="TableParagraph"/>
              <w:spacing w:before="5"/>
              <w:ind w:left="4"/>
              <w:jc w:val="center"/>
              <w:rPr>
                <w:rFonts w:ascii="Times New Roman"/>
                <w:b/>
                <w:sz w:val="20"/>
              </w:rPr>
            </w:pPr>
            <w:r>
              <w:rPr>
                <w:rFonts w:ascii="Times New Roman"/>
                <w:b/>
                <w:w w:val="65"/>
                <w:sz w:val="20"/>
              </w:rPr>
              <w:t>2</w:t>
            </w:r>
          </w:p>
        </w:tc>
        <w:tc>
          <w:tcPr>
            <w:tcW w:w="597" w:type="dxa"/>
          </w:tcPr>
          <w:p>
            <w:pPr>
              <w:pStyle w:val="TableParagraph"/>
              <w:spacing w:line="233" w:lineRule="exact"/>
              <w:ind w:right="61"/>
              <w:jc w:val="right"/>
              <w:rPr>
                <w:rFonts w:ascii="Bookman Old Style"/>
                <w:b w:val="0"/>
                <w:sz w:val="20"/>
              </w:rPr>
            </w:pPr>
            <w:r>
              <w:rPr>
                <w:rFonts w:ascii="Bookman Old Style"/>
                <w:b w:val="0"/>
                <w:w w:val="53"/>
                <w:sz w:val="20"/>
              </w:rPr>
              <w:t>3</w:t>
            </w:r>
          </w:p>
        </w:tc>
        <w:tc>
          <w:tcPr>
            <w:tcW w:w="671" w:type="dxa"/>
          </w:tcPr>
          <w:p>
            <w:pPr>
              <w:pStyle w:val="TableParagraph"/>
              <w:spacing w:line="233" w:lineRule="exact"/>
              <w:ind w:right="65"/>
              <w:jc w:val="right"/>
              <w:rPr>
                <w:rFonts w:ascii="Bookman Old Style"/>
                <w:b w:val="0"/>
                <w:sz w:val="20"/>
              </w:rPr>
            </w:pPr>
            <w:r>
              <w:rPr>
                <w:rFonts w:ascii="Bookman Old Style"/>
                <w:b w:val="0"/>
                <w:smallCaps/>
                <w:w w:val="53"/>
                <w:sz w:val="20"/>
              </w:rPr>
              <w:t>4</w:t>
            </w:r>
          </w:p>
        </w:tc>
        <w:tc>
          <w:tcPr>
            <w:tcW w:w="472" w:type="dxa"/>
          </w:tcPr>
          <w:p>
            <w:pPr>
              <w:pStyle w:val="TableParagraph"/>
              <w:spacing w:before="5"/>
              <w:jc w:val="center"/>
              <w:rPr>
                <w:rFonts w:ascii="Times New Roman"/>
                <w:b/>
                <w:sz w:val="20"/>
              </w:rPr>
            </w:pPr>
            <w:r>
              <w:rPr>
                <w:rFonts w:ascii="Times New Roman"/>
                <w:b/>
                <w:w w:val="65"/>
                <w:sz w:val="20"/>
              </w:rPr>
              <w:t>1</w:t>
            </w:r>
          </w:p>
        </w:tc>
        <w:tc>
          <w:tcPr>
            <w:tcW w:w="431" w:type="dxa"/>
          </w:tcPr>
          <w:p>
            <w:pPr>
              <w:pStyle w:val="TableParagraph"/>
              <w:spacing w:before="5"/>
              <w:ind w:right="4"/>
              <w:jc w:val="center"/>
              <w:rPr>
                <w:rFonts w:ascii="Times New Roman"/>
                <w:b/>
                <w:sz w:val="20"/>
              </w:rPr>
            </w:pPr>
            <w:r>
              <w:rPr>
                <w:rFonts w:ascii="Times New Roman"/>
                <w:b/>
                <w:w w:val="65"/>
                <w:sz w:val="20"/>
              </w:rPr>
              <w:t>2</w:t>
            </w:r>
          </w:p>
        </w:tc>
        <w:tc>
          <w:tcPr>
            <w:tcW w:w="609" w:type="dxa"/>
          </w:tcPr>
          <w:p>
            <w:pPr>
              <w:pStyle w:val="TableParagraph"/>
              <w:spacing w:line="233" w:lineRule="exact"/>
              <w:ind w:right="67"/>
              <w:jc w:val="right"/>
              <w:rPr>
                <w:rFonts w:ascii="Bookman Old Style"/>
                <w:b w:val="0"/>
                <w:sz w:val="20"/>
              </w:rPr>
            </w:pPr>
            <w:r>
              <w:rPr>
                <w:rFonts w:ascii="Bookman Old Style"/>
                <w:b w:val="0"/>
                <w:w w:val="53"/>
                <w:sz w:val="20"/>
              </w:rPr>
              <w:t>3</w:t>
            </w:r>
          </w:p>
        </w:tc>
        <w:tc>
          <w:tcPr>
            <w:tcW w:w="669" w:type="dxa"/>
          </w:tcPr>
          <w:p>
            <w:pPr>
              <w:pStyle w:val="TableParagraph"/>
              <w:spacing w:line="233" w:lineRule="exact"/>
              <w:ind w:right="69"/>
              <w:jc w:val="right"/>
              <w:rPr>
                <w:rFonts w:ascii="Bookman Old Style"/>
                <w:b w:val="0"/>
                <w:sz w:val="20"/>
              </w:rPr>
            </w:pPr>
            <w:r>
              <w:rPr>
                <w:rFonts w:ascii="Bookman Old Style"/>
                <w:b w:val="0"/>
                <w:smallCaps/>
                <w:w w:val="53"/>
                <w:sz w:val="20"/>
              </w:rPr>
              <w:t>4</w:t>
            </w:r>
          </w:p>
        </w:tc>
        <w:tc>
          <w:tcPr>
            <w:tcW w:w="501" w:type="dxa"/>
          </w:tcPr>
          <w:p>
            <w:pPr>
              <w:pStyle w:val="TableParagraph"/>
              <w:spacing w:before="5"/>
              <w:ind w:right="11"/>
              <w:jc w:val="center"/>
              <w:rPr>
                <w:rFonts w:ascii="Times New Roman"/>
                <w:b/>
                <w:sz w:val="20"/>
              </w:rPr>
            </w:pPr>
            <w:r>
              <w:rPr>
                <w:rFonts w:ascii="Times New Roman"/>
                <w:b/>
                <w:w w:val="65"/>
                <w:sz w:val="20"/>
              </w:rPr>
              <w:t>1</w:t>
            </w:r>
          </w:p>
        </w:tc>
        <w:tc>
          <w:tcPr>
            <w:tcW w:w="501" w:type="dxa"/>
          </w:tcPr>
          <w:p>
            <w:pPr>
              <w:pStyle w:val="TableParagraph"/>
              <w:spacing w:before="5"/>
              <w:ind w:left="204"/>
              <w:rPr>
                <w:rFonts w:ascii="Times New Roman"/>
                <w:b/>
                <w:sz w:val="20"/>
              </w:rPr>
            </w:pPr>
            <w:r>
              <w:rPr>
                <w:rFonts w:ascii="Times New Roman"/>
                <w:b/>
                <w:w w:val="65"/>
                <w:sz w:val="20"/>
              </w:rPr>
              <w:t>2</w:t>
            </w:r>
          </w:p>
        </w:tc>
        <w:tc>
          <w:tcPr>
            <w:tcW w:w="599" w:type="dxa"/>
          </w:tcPr>
          <w:p>
            <w:pPr>
              <w:pStyle w:val="TableParagraph"/>
              <w:spacing w:line="233" w:lineRule="exact"/>
              <w:ind w:right="76"/>
              <w:jc w:val="right"/>
              <w:rPr>
                <w:rFonts w:ascii="Bookman Old Style"/>
                <w:b w:val="0"/>
                <w:sz w:val="20"/>
              </w:rPr>
            </w:pPr>
            <w:r>
              <w:rPr>
                <w:rFonts w:ascii="Bookman Old Style"/>
                <w:b w:val="0"/>
                <w:w w:val="53"/>
                <w:sz w:val="20"/>
              </w:rPr>
              <w:t>3</w:t>
            </w:r>
          </w:p>
        </w:tc>
        <w:tc>
          <w:tcPr>
            <w:tcW w:w="669" w:type="dxa"/>
          </w:tcPr>
          <w:p>
            <w:pPr>
              <w:pStyle w:val="TableParagraph"/>
              <w:spacing w:line="233" w:lineRule="exact"/>
              <w:ind w:right="78"/>
              <w:jc w:val="right"/>
              <w:rPr>
                <w:rFonts w:ascii="Bookman Old Style"/>
                <w:b w:val="0"/>
                <w:sz w:val="20"/>
              </w:rPr>
            </w:pPr>
            <w:r>
              <w:rPr>
                <w:rFonts w:ascii="Bookman Old Style"/>
                <w:b w:val="0"/>
                <w:smallCaps/>
                <w:w w:val="53"/>
                <w:sz w:val="20"/>
              </w:rPr>
              <w:t>4</w:t>
            </w:r>
          </w:p>
        </w:tc>
        <w:tc>
          <w:tcPr>
            <w:tcW w:w="479" w:type="dxa"/>
          </w:tcPr>
          <w:p>
            <w:pPr>
              <w:pStyle w:val="TableParagraph"/>
              <w:spacing w:before="5"/>
              <w:ind w:right="26"/>
              <w:jc w:val="center"/>
              <w:rPr>
                <w:rFonts w:ascii="Times New Roman"/>
                <w:b/>
                <w:sz w:val="20"/>
              </w:rPr>
            </w:pPr>
            <w:r>
              <w:rPr>
                <w:rFonts w:ascii="Times New Roman"/>
                <w:b/>
                <w:w w:val="65"/>
                <w:sz w:val="20"/>
              </w:rPr>
              <w:t>1</w:t>
            </w:r>
          </w:p>
        </w:tc>
        <w:tc>
          <w:tcPr>
            <w:tcW w:w="503" w:type="dxa"/>
          </w:tcPr>
          <w:p>
            <w:pPr>
              <w:pStyle w:val="TableParagraph"/>
              <w:spacing w:before="5"/>
              <w:ind w:left="197"/>
              <w:rPr>
                <w:rFonts w:ascii="Times New Roman"/>
                <w:b/>
                <w:sz w:val="20"/>
              </w:rPr>
            </w:pPr>
            <w:r>
              <w:rPr>
                <w:rFonts w:ascii="Times New Roman"/>
                <w:b/>
                <w:w w:val="65"/>
                <w:sz w:val="20"/>
              </w:rPr>
              <w:t>2</w:t>
            </w:r>
          </w:p>
        </w:tc>
        <w:tc>
          <w:tcPr>
            <w:tcW w:w="516" w:type="dxa"/>
          </w:tcPr>
          <w:p>
            <w:pPr>
              <w:pStyle w:val="TableParagraph"/>
              <w:spacing w:line="233" w:lineRule="exact"/>
              <w:ind w:right="80"/>
              <w:jc w:val="right"/>
              <w:rPr>
                <w:rFonts w:ascii="Bookman Old Style"/>
                <w:b w:val="0"/>
                <w:sz w:val="20"/>
              </w:rPr>
            </w:pPr>
            <w:r>
              <w:rPr>
                <w:rFonts w:ascii="Bookman Old Style"/>
                <w:b w:val="0"/>
                <w:w w:val="53"/>
                <w:sz w:val="20"/>
              </w:rPr>
              <w:t>3</w:t>
            </w:r>
          </w:p>
        </w:tc>
        <w:tc>
          <w:tcPr>
            <w:tcW w:w="671" w:type="dxa"/>
          </w:tcPr>
          <w:p>
            <w:pPr>
              <w:pStyle w:val="TableParagraph"/>
              <w:spacing w:line="233" w:lineRule="exact"/>
              <w:ind w:right="84"/>
              <w:jc w:val="right"/>
              <w:rPr>
                <w:rFonts w:ascii="Bookman Old Style"/>
                <w:b w:val="0"/>
                <w:sz w:val="20"/>
              </w:rPr>
            </w:pPr>
            <w:r>
              <w:rPr>
                <w:rFonts w:ascii="Bookman Old Style"/>
                <w:b w:val="0"/>
                <w:smallCaps/>
                <w:w w:val="53"/>
                <w:sz w:val="20"/>
              </w:rPr>
              <w:t>4</w:t>
            </w:r>
          </w:p>
        </w:tc>
        <w:tc>
          <w:tcPr>
            <w:tcW w:w="501" w:type="dxa"/>
          </w:tcPr>
          <w:p>
            <w:pPr>
              <w:pStyle w:val="TableParagraph"/>
              <w:spacing w:line="233" w:lineRule="exact"/>
              <w:ind w:right="83"/>
              <w:jc w:val="right"/>
              <w:rPr>
                <w:rFonts w:ascii="Bookman Old Style"/>
                <w:b w:val="0"/>
                <w:sz w:val="20"/>
              </w:rPr>
            </w:pPr>
            <w:r>
              <w:rPr>
                <w:rFonts w:ascii="Bookman Old Style"/>
                <w:b w:val="0"/>
                <w:w w:val="53"/>
                <w:sz w:val="20"/>
              </w:rPr>
              <w:t>1</w:t>
            </w:r>
          </w:p>
        </w:tc>
        <w:tc>
          <w:tcPr>
            <w:tcW w:w="479" w:type="dxa"/>
          </w:tcPr>
          <w:p>
            <w:pPr>
              <w:pStyle w:val="TableParagraph"/>
              <w:spacing w:line="233" w:lineRule="exact"/>
              <w:ind w:right="85"/>
              <w:jc w:val="right"/>
              <w:rPr>
                <w:rFonts w:ascii="Bookman Old Style"/>
                <w:b w:val="0"/>
                <w:sz w:val="20"/>
              </w:rPr>
            </w:pPr>
            <w:r>
              <w:rPr>
                <w:rFonts w:ascii="Bookman Old Style"/>
                <w:b w:val="0"/>
                <w:w w:val="53"/>
                <w:sz w:val="20"/>
              </w:rPr>
              <w:t>2</w:t>
            </w:r>
          </w:p>
        </w:tc>
        <w:tc>
          <w:tcPr>
            <w:tcW w:w="551" w:type="dxa"/>
          </w:tcPr>
          <w:p>
            <w:pPr>
              <w:pStyle w:val="TableParagraph"/>
              <w:spacing w:line="233" w:lineRule="exact"/>
              <w:ind w:right="88"/>
              <w:jc w:val="right"/>
              <w:rPr>
                <w:rFonts w:ascii="Bookman Old Style"/>
                <w:b w:val="0"/>
                <w:sz w:val="20"/>
              </w:rPr>
            </w:pPr>
            <w:r>
              <w:rPr>
                <w:rFonts w:ascii="Bookman Old Style"/>
                <w:b w:val="0"/>
                <w:w w:val="53"/>
                <w:sz w:val="20"/>
              </w:rPr>
              <w:t>3</w:t>
            </w:r>
          </w:p>
        </w:tc>
        <w:tc>
          <w:tcPr>
            <w:tcW w:w="669" w:type="dxa"/>
          </w:tcPr>
          <w:p>
            <w:pPr>
              <w:pStyle w:val="TableParagraph"/>
              <w:spacing w:line="233" w:lineRule="exact"/>
              <w:ind w:right="88"/>
              <w:jc w:val="right"/>
              <w:rPr>
                <w:rFonts w:ascii="Bookman Old Style"/>
                <w:b w:val="0"/>
                <w:sz w:val="20"/>
              </w:rPr>
            </w:pPr>
            <w:r>
              <w:rPr>
                <w:rFonts w:ascii="Bookman Old Style"/>
                <w:b w:val="0"/>
                <w:smallCaps/>
                <w:w w:val="53"/>
                <w:sz w:val="20"/>
              </w:rPr>
              <w:t>4</w:t>
            </w:r>
          </w:p>
        </w:tc>
        <w:tc>
          <w:tcPr>
            <w:tcW w:w="1002" w:type="dxa"/>
            <w:tcBorders>
              <w:right w:val="single" w:sz="8" w:space="0" w:color="000000"/>
            </w:tcBorders>
          </w:tcPr>
          <w:p>
            <w:pPr>
              <w:pStyle w:val="TableParagraph"/>
              <w:rPr>
                <w:rFonts w:ascii="Times New Roman"/>
                <w:sz w:val="18"/>
              </w:rPr>
            </w:pPr>
          </w:p>
        </w:tc>
      </w:tr>
      <w:tr>
        <w:trPr>
          <w:trHeight w:val="450" w:hRule="atLeast"/>
        </w:trPr>
        <w:tc>
          <w:tcPr>
            <w:tcW w:w="1037" w:type="dxa"/>
            <w:vMerge w:val="restart"/>
          </w:tcPr>
          <w:p>
            <w:pPr>
              <w:pStyle w:val="TableParagraph"/>
              <w:spacing w:line="209" w:lineRule="exact"/>
              <w:ind w:left="69"/>
              <w:rPr>
                <w:rFonts w:ascii="Bookman Old Style"/>
                <w:b w:val="0"/>
                <w:sz w:val="18"/>
              </w:rPr>
            </w:pPr>
            <w:r>
              <w:rPr>
                <w:rFonts w:ascii="Bookman Old Style"/>
                <w:b w:val="0"/>
                <w:w w:val="65"/>
                <w:sz w:val="18"/>
              </w:rPr>
              <w:t>R.5.</w:t>
            </w: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17</w:t>
            </w:r>
          </w:p>
        </w:tc>
        <w:tc>
          <w:tcPr>
            <w:tcW w:w="538" w:type="dxa"/>
          </w:tcPr>
          <w:p>
            <w:pPr>
              <w:pStyle w:val="TableParagraph"/>
              <w:rPr>
                <w:rFonts w:ascii="Times New Roman"/>
                <w:sz w:val="18"/>
              </w:rPr>
            </w:pPr>
          </w:p>
        </w:tc>
        <w:tc>
          <w:tcPr>
            <w:tcW w:w="536" w:type="dxa"/>
          </w:tcPr>
          <w:p>
            <w:pPr>
              <w:pStyle w:val="TableParagraph"/>
              <w:spacing w:line="233" w:lineRule="exact"/>
              <w:ind w:left="96" w:right="25"/>
              <w:jc w:val="center"/>
              <w:rPr>
                <w:rFonts w:ascii="Bookman Old Style"/>
                <w:b w:val="0"/>
                <w:sz w:val="20"/>
              </w:rPr>
            </w:pPr>
            <w:r>
              <w:rPr>
                <w:rFonts w:ascii="Bookman Old Style"/>
                <w:b w:val="0"/>
                <w:w w:val="55"/>
                <w:sz w:val="20"/>
              </w:rPr>
              <w:t>50000</w:t>
            </w:r>
          </w:p>
        </w:tc>
        <w:tc>
          <w:tcPr>
            <w:tcW w:w="597" w:type="dxa"/>
          </w:tcPr>
          <w:p>
            <w:pPr>
              <w:pStyle w:val="TableParagraph"/>
              <w:rPr>
                <w:rFonts w:ascii="Times New Roman"/>
                <w:sz w:val="18"/>
              </w:rPr>
            </w:pPr>
          </w:p>
        </w:tc>
        <w:tc>
          <w:tcPr>
            <w:tcW w:w="671" w:type="dxa"/>
          </w:tcPr>
          <w:p>
            <w:pPr>
              <w:pStyle w:val="TableParagraph"/>
              <w:rPr>
                <w:rFonts w:ascii="Times New Roman"/>
                <w:sz w:val="18"/>
              </w:rPr>
            </w:pPr>
          </w:p>
        </w:tc>
        <w:tc>
          <w:tcPr>
            <w:tcW w:w="472" w:type="dxa"/>
          </w:tcPr>
          <w:p>
            <w:pPr>
              <w:pStyle w:val="TableParagraph"/>
              <w:rPr>
                <w:rFonts w:ascii="Times New Roman"/>
                <w:sz w:val="18"/>
              </w:rPr>
            </w:pP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50000</w:t>
            </w:r>
          </w:p>
        </w:tc>
      </w:tr>
      <w:tr>
        <w:trPr>
          <w:trHeight w:val="360"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smallCaps/>
                <w:w w:val="53"/>
                <w:sz w:val="18"/>
              </w:rPr>
              <w:t>18</w:t>
            </w:r>
          </w:p>
        </w:tc>
        <w:tc>
          <w:tcPr>
            <w:tcW w:w="538" w:type="dxa"/>
          </w:tcPr>
          <w:p>
            <w:pPr>
              <w:pStyle w:val="TableParagraph"/>
              <w:rPr>
                <w:rFonts w:ascii="Times New Roman"/>
                <w:sz w:val="18"/>
              </w:rPr>
            </w:pP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spacing w:line="233" w:lineRule="exact"/>
              <w:ind w:right="65"/>
              <w:jc w:val="right"/>
              <w:rPr>
                <w:rFonts w:ascii="Bookman Old Style"/>
                <w:b w:val="0"/>
                <w:sz w:val="20"/>
              </w:rPr>
            </w:pPr>
            <w:r>
              <w:rPr>
                <w:rFonts w:ascii="Bookman Old Style"/>
                <w:b w:val="0"/>
                <w:w w:val="50"/>
                <w:sz w:val="20"/>
              </w:rPr>
              <w:t>15000</w:t>
            </w:r>
          </w:p>
        </w:tc>
        <w:tc>
          <w:tcPr>
            <w:tcW w:w="472" w:type="dxa"/>
          </w:tcPr>
          <w:p>
            <w:pPr>
              <w:pStyle w:val="TableParagraph"/>
              <w:rPr>
                <w:rFonts w:ascii="Times New Roman"/>
                <w:sz w:val="18"/>
              </w:rPr>
            </w:pP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spacing w:line="233" w:lineRule="exact"/>
              <w:ind w:right="88"/>
              <w:jc w:val="right"/>
              <w:rPr>
                <w:rFonts w:ascii="Bookman Old Style"/>
                <w:b w:val="0"/>
                <w:sz w:val="20"/>
              </w:rPr>
            </w:pPr>
            <w:r>
              <w:rPr>
                <w:rFonts w:ascii="Bookman Old Style"/>
                <w:b w:val="0"/>
                <w:w w:val="50"/>
                <w:sz w:val="20"/>
              </w:rPr>
              <w:t>15000</w:t>
            </w:r>
          </w:p>
        </w:tc>
        <w:tc>
          <w:tcPr>
            <w:tcW w:w="1002" w:type="dxa"/>
          </w:tcPr>
          <w:p>
            <w:pPr>
              <w:pStyle w:val="TableParagraph"/>
              <w:spacing w:before="5"/>
              <w:ind w:right="89"/>
              <w:jc w:val="right"/>
              <w:rPr>
                <w:rFonts w:ascii="Times New Roman"/>
                <w:b/>
                <w:sz w:val="20"/>
              </w:rPr>
            </w:pPr>
            <w:r>
              <w:rPr>
                <w:rFonts w:ascii="Times New Roman"/>
                <w:b/>
                <w:w w:val="65"/>
                <w:sz w:val="20"/>
              </w:rPr>
              <w:t>30000</w:t>
            </w:r>
          </w:p>
        </w:tc>
      </w:tr>
      <w:tr>
        <w:trPr>
          <w:trHeight w:val="436"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19</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20000</w:t>
            </w: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rPr>
                <w:rFonts w:ascii="Times New Roman"/>
                <w:sz w:val="18"/>
              </w:rPr>
            </w:pPr>
          </w:p>
        </w:tc>
        <w:tc>
          <w:tcPr>
            <w:tcW w:w="472" w:type="dxa"/>
          </w:tcPr>
          <w:p>
            <w:pPr>
              <w:pStyle w:val="TableParagraph"/>
              <w:spacing w:line="233" w:lineRule="exact"/>
              <w:ind w:left="28" w:right="29"/>
              <w:jc w:val="center"/>
              <w:rPr>
                <w:rFonts w:ascii="Bookman Old Style"/>
                <w:b w:val="0"/>
                <w:sz w:val="20"/>
              </w:rPr>
            </w:pPr>
            <w:r>
              <w:rPr>
                <w:rFonts w:ascii="Bookman Old Style"/>
                <w:b w:val="0"/>
                <w:w w:val="55"/>
                <w:sz w:val="20"/>
              </w:rPr>
              <w:t>15000</w:t>
            </w: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spacing w:line="233" w:lineRule="exact"/>
              <w:ind w:right="71"/>
              <w:jc w:val="right"/>
              <w:rPr>
                <w:rFonts w:ascii="Bookman Old Style"/>
                <w:b w:val="0"/>
                <w:sz w:val="20"/>
              </w:rPr>
            </w:pPr>
            <w:r>
              <w:rPr>
                <w:rFonts w:ascii="Bookman Old Style"/>
                <w:b w:val="0"/>
                <w:w w:val="50"/>
                <w:sz w:val="20"/>
              </w:rPr>
              <w:t>15000</w:t>
            </w: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spacing w:line="233" w:lineRule="exact"/>
              <w:ind w:left="25" w:right="42"/>
              <w:jc w:val="center"/>
              <w:rPr>
                <w:rFonts w:ascii="Bookman Old Style"/>
                <w:b w:val="0"/>
                <w:sz w:val="20"/>
              </w:rPr>
            </w:pPr>
            <w:r>
              <w:rPr>
                <w:rFonts w:ascii="Bookman Old Style"/>
                <w:b w:val="0"/>
                <w:w w:val="55"/>
                <w:sz w:val="20"/>
              </w:rPr>
              <w:t>15000</w:t>
            </w: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spacing w:line="233" w:lineRule="exact"/>
              <w:ind w:right="84"/>
              <w:jc w:val="right"/>
              <w:rPr>
                <w:rFonts w:ascii="Bookman Old Style"/>
                <w:b w:val="0"/>
                <w:sz w:val="20"/>
              </w:rPr>
            </w:pPr>
            <w:r>
              <w:rPr>
                <w:rFonts w:ascii="Bookman Old Style"/>
                <w:b w:val="0"/>
                <w:w w:val="50"/>
                <w:sz w:val="20"/>
              </w:rPr>
              <w:t>15000</w:t>
            </w: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80000</w:t>
            </w:r>
          </w:p>
        </w:tc>
      </w:tr>
      <w:tr>
        <w:trPr>
          <w:trHeight w:val="462"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20</w:t>
            </w:r>
          </w:p>
        </w:tc>
        <w:tc>
          <w:tcPr>
            <w:tcW w:w="538" w:type="dxa"/>
          </w:tcPr>
          <w:p>
            <w:pPr>
              <w:pStyle w:val="TableParagraph"/>
              <w:rPr>
                <w:rFonts w:ascii="Times New Roman"/>
                <w:sz w:val="18"/>
              </w:rPr>
            </w:pP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72" w:type="dxa"/>
          </w:tcPr>
          <w:p>
            <w:pPr>
              <w:pStyle w:val="TableParagraph"/>
              <w:rPr>
                <w:rFonts w:ascii="Times New Roman"/>
                <w:sz w:val="18"/>
              </w:rPr>
            </w:pP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spacing w:line="233" w:lineRule="exact"/>
              <w:ind w:right="69"/>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spacing w:line="233" w:lineRule="exact"/>
              <w:ind w:right="78"/>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spacing w:line="233" w:lineRule="exact"/>
              <w:ind w:right="84"/>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spacing w:line="233" w:lineRule="exact"/>
              <w:ind w:right="88"/>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1002" w:type="dxa"/>
          </w:tcPr>
          <w:p>
            <w:pPr>
              <w:pStyle w:val="TableParagraph"/>
              <w:spacing w:before="5"/>
              <w:ind w:right="89"/>
              <w:jc w:val="right"/>
              <w:rPr>
                <w:rFonts w:ascii="Times New Roman"/>
                <w:b/>
                <w:sz w:val="20"/>
              </w:rPr>
            </w:pPr>
            <w:r>
              <w:rPr>
                <w:rFonts w:ascii="Times New Roman"/>
                <w:b/>
                <w:w w:val="65"/>
                <w:sz w:val="20"/>
              </w:rPr>
              <w:t>20000</w:t>
            </w:r>
          </w:p>
        </w:tc>
      </w:tr>
      <w:tr>
        <w:trPr>
          <w:trHeight w:val="436" w:hRule="atLeast"/>
        </w:trPr>
        <w:tc>
          <w:tcPr>
            <w:tcW w:w="1037" w:type="dxa"/>
            <w:vMerge w:val="restart"/>
          </w:tcPr>
          <w:p>
            <w:pPr>
              <w:pStyle w:val="TableParagraph"/>
              <w:ind w:left="69"/>
              <w:rPr>
                <w:rFonts w:ascii="Bookman Old Style"/>
                <w:b w:val="0"/>
                <w:sz w:val="18"/>
              </w:rPr>
            </w:pPr>
            <w:r>
              <w:rPr>
                <w:rFonts w:ascii="Bookman Old Style"/>
                <w:b w:val="0"/>
                <w:w w:val="65"/>
                <w:sz w:val="18"/>
              </w:rPr>
              <w:t>R.6</w:t>
            </w:r>
          </w:p>
        </w:tc>
        <w:tc>
          <w:tcPr>
            <w:tcW w:w="972" w:type="dxa"/>
            <w:shd w:val="clear" w:color="auto" w:fill="FFF1CC"/>
          </w:tcPr>
          <w:p>
            <w:pPr>
              <w:pStyle w:val="TableParagraph"/>
              <w:ind w:left="53" w:right="46"/>
              <w:jc w:val="center"/>
              <w:rPr>
                <w:rFonts w:ascii="Bookman Old Style"/>
                <w:b w:val="0"/>
                <w:sz w:val="18"/>
              </w:rPr>
            </w:pPr>
            <w:r>
              <w:rPr>
                <w:rFonts w:ascii="Bookman Old Style"/>
                <w:b w:val="0"/>
                <w:w w:val="65"/>
                <w:sz w:val="18"/>
              </w:rPr>
              <w:t>21</w:t>
            </w:r>
          </w:p>
        </w:tc>
        <w:tc>
          <w:tcPr>
            <w:tcW w:w="538" w:type="dxa"/>
          </w:tcPr>
          <w:p>
            <w:pPr>
              <w:pStyle w:val="TableParagraph"/>
              <w:spacing w:before="1"/>
              <w:ind w:right="62"/>
              <w:jc w:val="right"/>
              <w:rPr>
                <w:rFonts w:ascii="Bookman Old Style"/>
                <w:b w:val="0"/>
                <w:sz w:val="20"/>
              </w:rPr>
            </w:pPr>
            <w:r>
              <w:rPr>
                <w:rFonts w:ascii="Bookman Old Style"/>
                <w:b w:val="0"/>
                <w:w w:val="50"/>
                <w:sz w:val="20"/>
              </w:rPr>
              <w:t>15000</w:t>
            </w: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rPr>
                <w:rFonts w:ascii="Times New Roman"/>
                <w:sz w:val="18"/>
              </w:rPr>
            </w:pPr>
          </w:p>
        </w:tc>
        <w:tc>
          <w:tcPr>
            <w:tcW w:w="472" w:type="dxa"/>
          </w:tcPr>
          <w:p>
            <w:pPr>
              <w:pStyle w:val="TableParagraph"/>
              <w:spacing w:before="1"/>
              <w:ind w:left="95" w:right="29"/>
              <w:jc w:val="center"/>
              <w:rPr>
                <w:rFonts w:ascii="Bookman Old Style"/>
                <w:b w:val="0"/>
                <w:sz w:val="20"/>
              </w:rPr>
            </w:pPr>
            <w:r>
              <w:rPr>
                <w:rFonts w:ascii="Bookman Old Style"/>
                <w:b w:val="0"/>
                <w:w w:val="60"/>
                <w:sz w:val="20"/>
              </w:rPr>
              <w:t>7000</w:t>
            </w: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7"/>
              <w:ind w:right="89"/>
              <w:jc w:val="right"/>
              <w:rPr>
                <w:rFonts w:ascii="Times New Roman"/>
                <w:b/>
                <w:sz w:val="20"/>
              </w:rPr>
            </w:pPr>
            <w:r>
              <w:rPr>
                <w:rFonts w:ascii="Times New Roman"/>
                <w:b/>
                <w:w w:val="65"/>
                <w:sz w:val="20"/>
              </w:rPr>
              <w:t>22000</w:t>
            </w:r>
          </w:p>
        </w:tc>
      </w:tr>
      <w:tr>
        <w:trPr>
          <w:trHeight w:val="405"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22</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7000</w:t>
            </w:r>
          </w:p>
        </w:tc>
        <w:tc>
          <w:tcPr>
            <w:tcW w:w="536" w:type="dxa"/>
          </w:tcPr>
          <w:p>
            <w:pPr>
              <w:pStyle w:val="TableParagraph"/>
              <w:spacing w:line="233" w:lineRule="exact"/>
              <w:ind w:left="163" w:right="25"/>
              <w:jc w:val="center"/>
              <w:rPr>
                <w:rFonts w:ascii="Bookman Old Style"/>
                <w:b w:val="0"/>
                <w:sz w:val="20"/>
              </w:rPr>
            </w:pPr>
            <w:r>
              <w:rPr>
                <w:rFonts w:ascii="Bookman Old Style"/>
                <w:b w:val="0"/>
                <w:w w:val="60"/>
                <w:sz w:val="20"/>
              </w:rPr>
              <w:t>7000</w:t>
            </w:r>
          </w:p>
        </w:tc>
        <w:tc>
          <w:tcPr>
            <w:tcW w:w="597" w:type="dxa"/>
          </w:tcPr>
          <w:p>
            <w:pPr>
              <w:pStyle w:val="TableParagraph"/>
              <w:spacing w:line="233" w:lineRule="exact"/>
              <w:ind w:right="62"/>
              <w:jc w:val="right"/>
              <w:rPr>
                <w:rFonts w:ascii="Bookman Old Style"/>
                <w:b w:val="0"/>
                <w:sz w:val="20"/>
              </w:rPr>
            </w:pPr>
            <w:r>
              <w:rPr>
                <w:rFonts w:ascii="Bookman Old Style"/>
                <w:b w:val="0"/>
                <w:w w:val="50"/>
                <w:sz w:val="20"/>
              </w:rPr>
              <w:t>7000</w:t>
            </w:r>
          </w:p>
        </w:tc>
        <w:tc>
          <w:tcPr>
            <w:tcW w:w="671" w:type="dxa"/>
          </w:tcPr>
          <w:p>
            <w:pPr>
              <w:pStyle w:val="TableParagraph"/>
              <w:spacing w:line="233" w:lineRule="exact"/>
              <w:ind w:right="65"/>
              <w:jc w:val="right"/>
              <w:rPr>
                <w:rFonts w:ascii="Bookman Old Style"/>
                <w:b w:val="0"/>
                <w:sz w:val="20"/>
              </w:rPr>
            </w:pPr>
            <w:r>
              <w:rPr>
                <w:rFonts w:ascii="Bookman Old Style"/>
                <w:b w:val="0"/>
                <w:w w:val="50"/>
                <w:sz w:val="20"/>
              </w:rPr>
              <w:t>7000</w:t>
            </w:r>
          </w:p>
        </w:tc>
        <w:tc>
          <w:tcPr>
            <w:tcW w:w="472" w:type="dxa"/>
          </w:tcPr>
          <w:p>
            <w:pPr>
              <w:pStyle w:val="TableParagraph"/>
              <w:spacing w:line="233" w:lineRule="exact"/>
              <w:ind w:left="95" w:right="29"/>
              <w:jc w:val="center"/>
              <w:rPr>
                <w:rFonts w:ascii="Bookman Old Style"/>
                <w:b w:val="0"/>
                <w:sz w:val="20"/>
              </w:rPr>
            </w:pPr>
            <w:r>
              <w:rPr>
                <w:rFonts w:ascii="Bookman Old Style"/>
                <w:b w:val="0"/>
                <w:w w:val="60"/>
                <w:sz w:val="20"/>
              </w:rPr>
              <w:t>7000</w:t>
            </w:r>
          </w:p>
        </w:tc>
        <w:tc>
          <w:tcPr>
            <w:tcW w:w="431" w:type="dxa"/>
          </w:tcPr>
          <w:p>
            <w:pPr>
              <w:pStyle w:val="TableParagraph"/>
              <w:spacing w:line="233" w:lineRule="exact"/>
              <w:ind w:left="50" w:right="33"/>
              <w:jc w:val="center"/>
              <w:rPr>
                <w:rFonts w:ascii="Bookman Old Style"/>
                <w:b w:val="0"/>
                <w:sz w:val="20"/>
              </w:rPr>
            </w:pPr>
            <w:r>
              <w:rPr>
                <w:rFonts w:ascii="Bookman Old Style"/>
                <w:b w:val="0"/>
                <w:w w:val="60"/>
                <w:sz w:val="20"/>
              </w:rPr>
              <w:t>7000</w:t>
            </w:r>
          </w:p>
        </w:tc>
        <w:tc>
          <w:tcPr>
            <w:tcW w:w="609" w:type="dxa"/>
          </w:tcPr>
          <w:p>
            <w:pPr>
              <w:pStyle w:val="TableParagraph"/>
              <w:spacing w:line="233" w:lineRule="exact"/>
              <w:ind w:right="68"/>
              <w:jc w:val="right"/>
              <w:rPr>
                <w:rFonts w:ascii="Bookman Old Style"/>
                <w:b w:val="0"/>
                <w:sz w:val="20"/>
              </w:rPr>
            </w:pPr>
            <w:r>
              <w:rPr>
                <w:rFonts w:ascii="Bookman Old Style"/>
                <w:b w:val="0"/>
                <w:w w:val="50"/>
                <w:sz w:val="20"/>
              </w:rPr>
              <w:t>7000</w:t>
            </w:r>
          </w:p>
        </w:tc>
        <w:tc>
          <w:tcPr>
            <w:tcW w:w="669" w:type="dxa"/>
          </w:tcPr>
          <w:p>
            <w:pPr>
              <w:pStyle w:val="TableParagraph"/>
              <w:spacing w:line="233" w:lineRule="exact"/>
              <w:ind w:right="69"/>
              <w:jc w:val="right"/>
              <w:rPr>
                <w:rFonts w:ascii="Bookman Old Style"/>
                <w:b w:val="0"/>
                <w:sz w:val="20"/>
              </w:rPr>
            </w:pPr>
            <w:r>
              <w:rPr>
                <w:rFonts w:ascii="Bookman Old Style"/>
                <w:b w:val="0"/>
                <w:w w:val="50"/>
                <w:sz w:val="20"/>
              </w:rPr>
              <w:t>7000</w:t>
            </w:r>
          </w:p>
        </w:tc>
        <w:tc>
          <w:tcPr>
            <w:tcW w:w="501" w:type="dxa"/>
          </w:tcPr>
          <w:p>
            <w:pPr>
              <w:pStyle w:val="TableParagraph"/>
              <w:spacing w:line="233" w:lineRule="exact"/>
              <w:ind w:right="71"/>
              <w:jc w:val="right"/>
              <w:rPr>
                <w:rFonts w:ascii="Bookman Old Style"/>
                <w:b w:val="0"/>
                <w:sz w:val="20"/>
              </w:rPr>
            </w:pPr>
            <w:r>
              <w:rPr>
                <w:rFonts w:ascii="Bookman Old Style"/>
                <w:b w:val="0"/>
                <w:w w:val="50"/>
                <w:sz w:val="20"/>
              </w:rPr>
              <w:t>7000</w:t>
            </w:r>
          </w:p>
        </w:tc>
        <w:tc>
          <w:tcPr>
            <w:tcW w:w="501" w:type="dxa"/>
          </w:tcPr>
          <w:p>
            <w:pPr>
              <w:pStyle w:val="TableParagraph"/>
              <w:spacing w:line="233" w:lineRule="exact"/>
              <w:ind w:left="153"/>
              <w:rPr>
                <w:rFonts w:ascii="Bookman Old Style"/>
                <w:b w:val="0"/>
                <w:sz w:val="20"/>
              </w:rPr>
            </w:pPr>
            <w:r>
              <w:rPr>
                <w:rFonts w:ascii="Bookman Old Style"/>
                <w:b w:val="0"/>
                <w:w w:val="60"/>
                <w:sz w:val="20"/>
              </w:rPr>
              <w:t>7000</w:t>
            </w:r>
          </w:p>
        </w:tc>
        <w:tc>
          <w:tcPr>
            <w:tcW w:w="599" w:type="dxa"/>
          </w:tcPr>
          <w:p>
            <w:pPr>
              <w:pStyle w:val="TableParagraph"/>
              <w:spacing w:line="233" w:lineRule="exact"/>
              <w:ind w:right="76"/>
              <w:jc w:val="right"/>
              <w:rPr>
                <w:rFonts w:ascii="Bookman Old Style"/>
                <w:b w:val="0"/>
                <w:sz w:val="20"/>
              </w:rPr>
            </w:pPr>
            <w:r>
              <w:rPr>
                <w:rFonts w:ascii="Bookman Old Style"/>
                <w:b w:val="0"/>
                <w:w w:val="50"/>
                <w:sz w:val="20"/>
              </w:rPr>
              <w:t>7000</w:t>
            </w:r>
          </w:p>
        </w:tc>
        <w:tc>
          <w:tcPr>
            <w:tcW w:w="669" w:type="dxa"/>
          </w:tcPr>
          <w:p>
            <w:pPr>
              <w:pStyle w:val="TableParagraph"/>
              <w:spacing w:line="233" w:lineRule="exact"/>
              <w:ind w:right="78"/>
              <w:jc w:val="right"/>
              <w:rPr>
                <w:rFonts w:ascii="Bookman Old Style"/>
                <w:b w:val="0"/>
                <w:sz w:val="20"/>
              </w:rPr>
            </w:pPr>
            <w:r>
              <w:rPr>
                <w:rFonts w:ascii="Bookman Old Style"/>
                <w:b w:val="0"/>
                <w:w w:val="50"/>
                <w:sz w:val="20"/>
              </w:rPr>
              <w:t>7000</w:t>
            </w:r>
          </w:p>
        </w:tc>
        <w:tc>
          <w:tcPr>
            <w:tcW w:w="479" w:type="dxa"/>
          </w:tcPr>
          <w:p>
            <w:pPr>
              <w:pStyle w:val="TableParagraph"/>
              <w:spacing w:line="233" w:lineRule="exact"/>
              <w:ind w:left="89" w:right="42"/>
              <w:jc w:val="center"/>
              <w:rPr>
                <w:rFonts w:ascii="Bookman Old Style"/>
                <w:b w:val="0"/>
                <w:sz w:val="20"/>
              </w:rPr>
            </w:pPr>
            <w:r>
              <w:rPr>
                <w:rFonts w:ascii="Bookman Old Style"/>
                <w:b w:val="0"/>
                <w:w w:val="60"/>
                <w:sz w:val="20"/>
              </w:rPr>
              <w:t>7000</w:t>
            </w:r>
          </w:p>
        </w:tc>
        <w:tc>
          <w:tcPr>
            <w:tcW w:w="503" w:type="dxa"/>
          </w:tcPr>
          <w:p>
            <w:pPr>
              <w:pStyle w:val="TableParagraph"/>
              <w:spacing w:line="233" w:lineRule="exact"/>
              <w:ind w:left="147"/>
              <w:rPr>
                <w:rFonts w:ascii="Bookman Old Style"/>
                <w:b w:val="0"/>
                <w:sz w:val="20"/>
              </w:rPr>
            </w:pPr>
            <w:r>
              <w:rPr>
                <w:rFonts w:ascii="Bookman Old Style"/>
                <w:b w:val="0"/>
                <w:w w:val="60"/>
                <w:sz w:val="20"/>
              </w:rPr>
              <w:t>7000</w:t>
            </w:r>
          </w:p>
        </w:tc>
        <w:tc>
          <w:tcPr>
            <w:tcW w:w="516" w:type="dxa"/>
          </w:tcPr>
          <w:p>
            <w:pPr>
              <w:pStyle w:val="TableParagraph"/>
              <w:spacing w:line="233" w:lineRule="exact"/>
              <w:ind w:right="80"/>
              <w:jc w:val="right"/>
              <w:rPr>
                <w:rFonts w:ascii="Bookman Old Style"/>
                <w:b w:val="0"/>
                <w:sz w:val="20"/>
              </w:rPr>
            </w:pPr>
            <w:r>
              <w:rPr>
                <w:rFonts w:ascii="Bookman Old Style"/>
                <w:b w:val="0"/>
                <w:w w:val="50"/>
                <w:sz w:val="20"/>
              </w:rPr>
              <w:t>7000</w:t>
            </w:r>
          </w:p>
        </w:tc>
        <w:tc>
          <w:tcPr>
            <w:tcW w:w="671" w:type="dxa"/>
          </w:tcPr>
          <w:p>
            <w:pPr>
              <w:pStyle w:val="TableParagraph"/>
              <w:spacing w:line="233" w:lineRule="exact"/>
              <w:ind w:right="84"/>
              <w:jc w:val="right"/>
              <w:rPr>
                <w:rFonts w:ascii="Bookman Old Style"/>
                <w:b w:val="0"/>
                <w:sz w:val="20"/>
              </w:rPr>
            </w:pPr>
            <w:r>
              <w:rPr>
                <w:rFonts w:ascii="Bookman Old Style"/>
                <w:b w:val="0"/>
                <w:w w:val="50"/>
                <w:sz w:val="20"/>
              </w:rPr>
              <w:t>7000</w:t>
            </w:r>
          </w:p>
        </w:tc>
        <w:tc>
          <w:tcPr>
            <w:tcW w:w="501" w:type="dxa"/>
          </w:tcPr>
          <w:p>
            <w:pPr>
              <w:pStyle w:val="TableParagraph"/>
              <w:spacing w:line="233" w:lineRule="exact"/>
              <w:ind w:right="84"/>
              <w:jc w:val="right"/>
              <w:rPr>
                <w:rFonts w:ascii="Bookman Old Style"/>
                <w:b w:val="0"/>
                <w:sz w:val="20"/>
              </w:rPr>
            </w:pPr>
            <w:r>
              <w:rPr>
                <w:rFonts w:ascii="Bookman Old Style"/>
                <w:b w:val="0"/>
                <w:w w:val="50"/>
                <w:sz w:val="20"/>
              </w:rPr>
              <w:t>7000</w:t>
            </w:r>
          </w:p>
        </w:tc>
        <w:tc>
          <w:tcPr>
            <w:tcW w:w="479" w:type="dxa"/>
          </w:tcPr>
          <w:p>
            <w:pPr>
              <w:pStyle w:val="TableParagraph"/>
              <w:spacing w:line="233" w:lineRule="exact"/>
              <w:ind w:right="85"/>
              <w:jc w:val="right"/>
              <w:rPr>
                <w:rFonts w:ascii="Bookman Old Style"/>
                <w:b w:val="0"/>
                <w:sz w:val="20"/>
              </w:rPr>
            </w:pPr>
            <w:r>
              <w:rPr>
                <w:rFonts w:ascii="Bookman Old Style"/>
                <w:b w:val="0"/>
                <w:w w:val="50"/>
                <w:sz w:val="20"/>
              </w:rPr>
              <w:t>7000</w:t>
            </w:r>
          </w:p>
        </w:tc>
        <w:tc>
          <w:tcPr>
            <w:tcW w:w="551" w:type="dxa"/>
          </w:tcPr>
          <w:p>
            <w:pPr>
              <w:pStyle w:val="TableParagraph"/>
              <w:spacing w:line="233" w:lineRule="exact"/>
              <w:ind w:right="89"/>
              <w:jc w:val="right"/>
              <w:rPr>
                <w:rFonts w:ascii="Bookman Old Style"/>
                <w:b w:val="0"/>
                <w:sz w:val="20"/>
              </w:rPr>
            </w:pPr>
            <w:r>
              <w:rPr>
                <w:rFonts w:ascii="Bookman Old Style"/>
                <w:b w:val="0"/>
                <w:w w:val="50"/>
                <w:sz w:val="20"/>
              </w:rPr>
              <w:t>7000</w:t>
            </w:r>
          </w:p>
        </w:tc>
        <w:tc>
          <w:tcPr>
            <w:tcW w:w="669" w:type="dxa"/>
          </w:tcPr>
          <w:p>
            <w:pPr>
              <w:pStyle w:val="TableParagraph"/>
              <w:spacing w:line="233" w:lineRule="exact"/>
              <w:ind w:right="88"/>
              <w:jc w:val="right"/>
              <w:rPr>
                <w:rFonts w:ascii="Bookman Old Style"/>
                <w:b w:val="0"/>
                <w:sz w:val="20"/>
              </w:rPr>
            </w:pPr>
            <w:r>
              <w:rPr>
                <w:rFonts w:ascii="Bookman Old Style"/>
                <w:b w:val="0"/>
                <w:w w:val="50"/>
                <w:sz w:val="20"/>
              </w:rPr>
              <w:t>7000</w:t>
            </w:r>
          </w:p>
        </w:tc>
        <w:tc>
          <w:tcPr>
            <w:tcW w:w="1002" w:type="dxa"/>
          </w:tcPr>
          <w:p>
            <w:pPr>
              <w:pStyle w:val="TableParagraph"/>
              <w:spacing w:before="5"/>
              <w:ind w:right="89"/>
              <w:jc w:val="right"/>
              <w:rPr>
                <w:rFonts w:ascii="Times New Roman"/>
                <w:b/>
                <w:sz w:val="20"/>
              </w:rPr>
            </w:pPr>
            <w:r>
              <w:rPr>
                <w:rFonts w:ascii="Times New Roman"/>
                <w:b/>
                <w:w w:val="65"/>
                <w:sz w:val="20"/>
              </w:rPr>
              <w:t>140000</w:t>
            </w:r>
          </w:p>
        </w:tc>
      </w:tr>
      <w:tr>
        <w:trPr>
          <w:trHeight w:val="419"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23</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15000</w:t>
            </w:r>
          </w:p>
        </w:tc>
        <w:tc>
          <w:tcPr>
            <w:tcW w:w="536" w:type="dxa"/>
          </w:tcPr>
          <w:p>
            <w:pPr>
              <w:pStyle w:val="TableParagraph"/>
              <w:spacing w:line="233" w:lineRule="exact"/>
              <w:ind w:left="96" w:right="25"/>
              <w:jc w:val="center"/>
              <w:rPr>
                <w:rFonts w:ascii="Bookman Old Style"/>
                <w:b w:val="0"/>
                <w:sz w:val="20"/>
              </w:rPr>
            </w:pPr>
            <w:r>
              <w:rPr>
                <w:rFonts w:ascii="Bookman Old Style"/>
                <w:b w:val="0"/>
                <w:w w:val="55"/>
                <w:sz w:val="20"/>
              </w:rPr>
              <w:t>30000</w:t>
            </w:r>
          </w:p>
        </w:tc>
        <w:tc>
          <w:tcPr>
            <w:tcW w:w="597" w:type="dxa"/>
          </w:tcPr>
          <w:p>
            <w:pPr>
              <w:pStyle w:val="TableParagraph"/>
              <w:spacing w:line="233" w:lineRule="exact"/>
              <w:ind w:right="62"/>
              <w:jc w:val="right"/>
              <w:rPr>
                <w:rFonts w:ascii="Bookman Old Style"/>
                <w:b w:val="0"/>
                <w:sz w:val="20"/>
              </w:rPr>
            </w:pPr>
            <w:r>
              <w:rPr>
                <w:rFonts w:ascii="Bookman Old Style"/>
                <w:b w:val="0"/>
                <w:w w:val="50"/>
                <w:sz w:val="20"/>
              </w:rPr>
              <w:t>15000</w:t>
            </w:r>
          </w:p>
        </w:tc>
        <w:tc>
          <w:tcPr>
            <w:tcW w:w="671" w:type="dxa"/>
          </w:tcPr>
          <w:p>
            <w:pPr>
              <w:pStyle w:val="TableParagraph"/>
              <w:rPr>
                <w:rFonts w:ascii="Times New Roman"/>
                <w:sz w:val="18"/>
              </w:rPr>
            </w:pPr>
          </w:p>
        </w:tc>
        <w:tc>
          <w:tcPr>
            <w:tcW w:w="472" w:type="dxa"/>
          </w:tcPr>
          <w:p>
            <w:pPr>
              <w:pStyle w:val="TableParagraph"/>
              <w:rPr>
                <w:rFonts w:ascii="Times New Roman"/>
                <w:sz w:val="18"/>
              </w:rPr>
            </w:pP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60000</w:t>
            </w:r>
          </w:p>
        </w:tc>
      </w:tr>
      <w:tr>
        <w:trPr>
          <w:trHeight w:val="451"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smallCaps/>
                <w:w w:val="53"/>
                <w:sz w:val="18"/>
              </w:rPr>
              <w:t>24</w:t>
            </w:r>
          </w:p>
        </w:tc>
        <w:tc>
          <w:tcPr>
            <w:tcW w:w="538" w:type="dxa"/>
          </w:tcPr>
          <w:p>
            <w:pPr>
              <w:pStyle w:val="TableParagraph"/>
              <w:rPr>
                <w:rFonts w:ascii="Times New Roman"/>
                <w:sz w:val="18"/>
              </w:rPr>
            </w:pPr>
          </w:p>
        </w:tc>
        <w:tc>
          <w:tcPr>
            <w:tcW w:w="536" w:type="dxa"/>
          </w:tcPr>
          <w:p>
            <w:pPr>
              <w:pStyle w:val="TableParagraph"/>
              <w:rPr>
                <w:rFonts w:ascii="Times New Roman"/>
                <w:sz w:val="18"/>
              </w:rPr>
            </w:pPr>
          </w:p>
        </w:tc>
        <w:tc>
          <w:tcPr>
            <w:tcW w:w="597" w:type="dxa"/>
          </w:tcPr>
          <w:p>
            <w:pPr>
              <w:pStyle w:val="TableParagraph"/>
              <w:spacing w:line="233" w:lineRule="exact"/>
              <w:ind w:right="62"/>
              <w:jc w:val="right"/>
              <w:rPr>
                <w:rFonts w:ascii="Bookman Old Style"/>
                <w:b w:val="0"/>
                <w:sz w:val="20"/>
              </w:rPr>
            </w:pPr>
            <w:r>
              <w:rPr>
                <w:rFonts w:ascii="Bookman Old Style"/>
                <w:b w:val="0"/>
                <w:w w:val="50"/>
                <w:sz w:val="20"/>
              </w:rPr>
              <w:t>30000</w:t>
            </w:r>
          </w:p>
        </w:tc>
        <w:tc>
          <w:tcPr>
            <w:tcW w:w="671" w:type="dxa"/>
          </w:tcPr>
          <w:p>
            <w:pPr>
              <w:pStyle w:val="TableParagraph"/>
              <w:rPr>
                <w:rFonts w:ascii="Times New Roman"/>
                <w:sz w:val="18"/>
              </w:rPr>
            </w:pPr>
          </w:p>
        </w:tc>
        <w:tc>
          <w:tcPr>
            <w:tcW w:w="472" w:type="dxa"/>
          </w:tcPr>
          <w:p>
            <w:pPr>
              <w:pStyle w:val="TableParagraph"/>
              <w:rPr>
                <w:rFonts w:ascii="Times New Roman"/>
                <w:sz w:val="18"/>
              </w:rPr>
            </w:pPr>
          </w:p>
        </w:tc>
        <w:tc>
          <w:tcPr>
            <w:tcW w:w="431" w:type="dxa"/>
          </w:tcPr>
          <w:p>
            <w:pPr>
              <w:pStyle w:val="TableParagraph"/>
              <w:rPr>
                <w:rFonts w:ascii="Times New Roman"/>
                <w:sz w:val="18"/>
              </w:rPr>
            </w:pPr>
          </w:p>
        </w:tc>
        <w:tc>
          <w:tcPr>
            <w:tcW w:w="609" w:type="dxa"/>
          </w:tcPr>
          <w:p>
            <w:pPr>
              <w:pStyle w:val="TableParagraph"/>
              <w:spacing w:line="233" w:lineRule="exact"/>
              <w:ind w:right="68"/>
              <w:jc w:val="right"/>
              <w:rPr>
                <w:rFonts w:ascii="Bookman Old Style"/>
                <w:b w:val="0"/>
                <w:sz w:val="20"/>
              </w:rPr>
            </w:pPr>
            <w:r>
              <w:rPr>
                <w:rFonts w:ascii="Bookman Old Style"/>
                <w:b w:val="0"/>
                <w:w w:val="50"/>
                <w:sz w:val="20"/>
              </w:rPr>
              <w:t>30000</w:t>
            </w:r>
          </w:p>
        </w:tc>
        <w:tc>
          <w:tcPr>
            <w:tcW w:w="669" w:type="dxa"/>
          </w:tcPr>
          <w:p>
            <w:pPr>
              <w:pStyle w:val="TableParagraph"/>
              <w:rPr>
                <w:rFonts w:ascii="Times New Roman"/>
                <w:sz w:val="18"/>
              </w:rPr>
            </w:pP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spacing w:line="233" w:lineRule="exact"/>
              <w:ind w:right="77"/>
              <w:jc w:val="right"/>
              <w:rPr>
                <w:rFonts w:ascii="Bookman Old Style"/>
                <w:b w:val="0"/>
                <w:sz w:val="20"/>
              </w:rPr>
            </w:pPr>
            <w:r>
              <w:rPr>
                <w:rFonts w:ascii="Bookman Old Style"/>
                <w:b w:val="0"/>
                <w:w w:val="50"/>
                <w:sz w:val="20"/>
              </w:rPr>
              <w:t>30000</w:t>
            </w:r>
          </w:p>
        </w:tc>
        <w:tc>
          <w:tcPr>
            <w:tcW w:w="669" w:type="dxa"/>
          </w:tcPr>
          <w:p>
            <w:pPr>
              <w:pStyle w:val="TableParagraph"/>
              <w:rPr>
                <w:rFonts w:ascii="Times New Roman"/>
                <w:sz w:val="18"/>
              </w:rPr>
            </w:pP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spacing w:line="233" w:lineRule="exact"/>
              <w:ind w:right="81"/>
              <w:jc w:val="right"/>
              <w:rPr>
                <w:rFonts w:ascii="Bookman Old Style"/>
                <w:b w:val="0"/>
                <w:sz w:val="20"/>
              </w:rPr>
            </w:pPr>
            <w:r>
              <w:rPr>
                <w:rFonts w:ascii="Bookman Old Style"/>
                <w:b w:val="0"/>
                <w:w w:val="50"/>
                <w:sz w:val="20"/>
              </w:rPr>
              <w:t>30000</w:t>
            </w:r>
          </w:p>
        </w:tc>
        <w:tc>
          <w:tcPr>
            <w:tcW w:w="671" w:type="dxa"/>
          </w:tcPr>
          <w:p>
            <w:pPr>
              <w:pStyle w:val="TableParagraph"/>
              <w:rPr>
                <w:rFonts w:ascii="Times New Roman"/>
                <w:sz w:val="18"/>
              </w:rPr>
            </w:pP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spacing w:line="233" w:lineRule="exact"/>
              <w:ind w:right="89"/>
              <w:jc w:val="right"/>
              <w:rPr>
                <w:rFonts w:ascii="Bookman Old Style"/>
                <w:b w:val="0"/>
                <w:sz w:val="20"/>
              </w:rPr>
            </w:pPr>
            <w:r>
              <w:rPr>
                <w:rFonts w:ascii="Bookman Old Style"/>
                <w:b w:val="0"/>
                <w:w w:val="50"/>
                <w:sz w:val="20"/>
              </w:rPr>
              <w:t>30000</w:t>
            </w: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150000</w:t>
            </w:r>
          </w:p>
        </w:tc>
      </w:tr>
      <w:tr>
        <w:trPr>
          <w:trHeight w:val="465" w:hRule="atLeast"/>
        </w:trPr>
        <w:tc>
          <w:tcPr>
            <w:tcW w:w="1037" w:type="dxa"/>
            <w:vMerge w:val="restart"/>
          </w:tcPr>
          <w:p>
            <w:pPr>
              <w:pStyle w:val="TableParagraph"/>
              <w:spacing w:line="209" w:lineRule="exact"/>
              <w:ind w:left="69"/>
              <w:rPr>
                <w:rFonts w:ascii="Bookman Old Style"/>
                <w:b w:val="0"/>
                <w:sz w:val="18"/>
              </w:rPr>
            </w:pPr>
            <w:r>
              <w:rPr>
                <w:rFonts w:ascii="Bookman Old Style"/>
                <w:b w:val="0"/>
                <w:w w:val="65"/>
                <w:sz w:val="18"/>
              </w:rPr>
              <w:t>R.7</w:t>
            </w: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25</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150000</w:t>
            </w: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rPr>
                <w:rFonts w:ascii="Times New Roman"/>
                <w:sz w:val="18"/>
              </w:rPr>
            </w:pPr>
          </w:p>
        </w:tc>
        <w:tc>
          <w:tcPr>
            <w:tcW w:w="472" w:type="dxa"/>
          </w:tcPr>
          <w:p>
            <w:pPr>
              <w:pStyle w:val="TableParagraph"/>
              <w:spacing w:line="233" w:lineRule="exact"/>
              <w:ind w:left="28" w:right="29"/>
              <w:jc w:val="center"/>
              <w:rPr>
                <w:rFonts w:ascii="Bookman Old Style"/>
                <w:b w:val="0"/>
                <w:sz w:val="20"/>
              </w:rPr>
            </w:pPr>
            <w:r>
              <w:rPr>
                <w:rFonts w:ascii="Bookman Old Style"/>
                <w:b w:val="0"/>
                <w:w w:val="55"/>
                <w:sz w:val="20"/>
              </w:rPr>
              <w:t>10000</w:t>
            </w: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spacing w:line="233" w:lineRule="exact"/>
              <w:ind w:right="71"/>
              <w:jc w:val="right"/>
              <w:rPr>
                <w:rFonts w:ascii="Bookman Old Style"/>
                <w:b w:val="0"/>
                <w:sz w:val="20"/>
              </w:rPr>
            </w:pPr>
            <w:r>
              <w:rPr>
                <w:rFonts w:ascii="Bookman Old Style"/>
                <w:b w:val="0"/>
                <w:w w:val="50"/>
                <w:sz w:val="20"/>
              </w:rPr>
              <w:t>6000</w:t>
            </w: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spacing w:line="233" w:lineRule="exact"/>
              <w:ind w:left="89" w:right="42"/>
              <w:jc w:val="center"/>
              <w:rPr>
                <w:rFonts w:ascii="Bookman Old Style"/>
                <w:b w:val="0"/>
                <w:sz w:val="20"/>
              </w:rPr>
            </w:pPr>
            <w:r>
              <w:rPr>
                <w:rFonts w:ascii="Bookman Old Style"/>
                <w:b w:val="0"/>
                <w:w w:val="60"/>
                <w:sz w:val="20"/>
              </w:rPr>
              <w:t>6000</w:t>
            </w: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spacing w:line="233" w:lineRule="exact"/>
              <w:ind w:right="84"/>
              <w:jc w:val="right"/>
              <w:rPr>
                <w:rFonts w:ascii="Bookman Old Style"/>
                <w:b w:val="0"/>
                <w:sz w:val="20"/>
              </w:rPr>
            </w:pPr>
            <w:r>
              <w:rPr>
                <w:rFonts w:ascii="Bookman Old Style"/>
                <w:b w:val="0"/>
                <w:w w:val="50"/>
                <w:sz w:val="20"/>
              </w:rPr>
              <w:t>10000</w:t>
            </w: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182000</w:t>
            </w:r>
          </w:p>
        </w:tc>
      </w:tr>
      <w:tr>
        <w:trPr>
          <w:trHeight w:val="568"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26</w:t>
            </w:r>
          </w:p>
        </w:tc>
        <w:tc>
          <w:tcPr>
            <w:tcW w:w="538" w:type="dxa"/>
          </w:tcPr>
          <w:p>
            <w:pPr>
              <w:pStyle w:val="TableParagraph"/>
              <w:rPr>
                <w:rFonts w:ascii="Times New Roman"/>
                <w:sz w:val="18"/>
              </w:rPr>
            </w:pP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spacing w:line="233" w:lineRule="exact"/>
              <w:ind w:right="66"/>
              <w:jc w:val="right"/>
              <w:rPr>
                <w:rFonts w:ascii="Bookman Old Style"/>
                <w:b w:val="0"/>
                <w:sz w:val="20"/>
              </w:rPr>
            </w:pPr>
            <w:r>
              <w:rPr>
                <w:rFonts w:ascii="Bookman Old Style"/>
                <w:b w:val="0"/>
                <w:w w:val="50"/>
                <w:sz w:val="20"/>
              </w:rPr>
              <w:t>15000000</w:t>
            </w:r>
          </w:p>
        </w:tc>
        <w:tc>
          <w:tcPr>
            <w:tcW w:w="472" w:type="dxa"/>
          </w:tcPr>
          <w:p>
            <w:pPr>
              <w:pStyle w:val="TableParagraph"/>
              <w:rPr>
                <w:rFonts w:ascii="Times New Roman"/>
                <w:sz w:val="18"/>
              </w:rPr>
            </w:pP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spacing w:line="233" w:lineRule="exact"/>
              <w:ind w:right="70"/>
              <w:jc w:val="right"/>
              <w:rPr>
                <w:rFonts w:ascii="Bookman Old Style"/>
                <w:b w:val="0"/>
                <w:sz w:val="20"/>
              </w:rPr>
            </w:pPr>
            <w:r>
              <w:rPr>
                <w:rFonts w:ascii="Bookman Old Style"/>
                <w:b w:val="0"/>
                <w:w w:val="50"/>
                <w:sz w:val="20"/>
              </w:rPr>
              <w:t>15000000</w:t>
            </w:r>
          </w:p>
        </w:tc>
        <w:tc>
          <w:tcPr>
            <w:tcW w:w="501" w:type="dxa"/>
          </w:tcPr>
          <w:p>
            <w:pPr>
              <w:pStyle w:val="TableParagraph"/>
              <w:rPr>
                <w:rFonts w:ascii="Times New Roman"/>
                <w:sz w:val="18"/>
              </w:rPr>
            </w:pP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spacing w:line="233" w:lineRule="exact"/>
              <w:ind w:right="79"/>
              <w:jc w:val="right"/>
              <w:rPr>
                <w:rFonts w:ascii="Bookman Old Style"/>
                <w:b w:val="0"/>
                <w:sz w:val="20"/>
              </w:rPr>
            </w:pPr>
            <w:r>
              <w:rPr>
                <w:rFonts w:ascii="Bookman Old Style"/>
                <w:b w:val="0"/>
                <w:w w:val="50"/>
                <w:sz w:val="20"/>
              </w:rPr>
              <w:t>15000000</w:t>
            </w:r>
          </w:p>
        </w:tc>
        <w:tc>
          <w:tcPr>
            <w:tcW w:w="479" w:type="dxa"/>
          </w:tcPr>
          <w:p>
            <w:pPr>
              <w:pStyle w:val="TableParagraph"/>
              <w:rPr>
                <w:rFonts w:ascii="Times New Roman"/>
                <w:sz w:val="18"/>
              </w:rPr>
            </w:pP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spacing w:line="233" w:lineRule="exact"/>
              <w:ind w:right="85"/>
              <w:jc w:val="right"/>
              <w:rPr>
                <w:rFonts w:ascii="Bookman Old Style"/>
                <w:b w:val="0"/>
                <w:sz w:val="20"/>
              </w:rPr>
            </w:pPr>
            <w:r>
              <w:rPr>
                <w:rFonts w:ascii="Bookman Old Style"/>
                <w:b w:val="0"/>
                <w:w w:val="50"/>
                <w:sz w:val="20"/>
              </w:rPr>
              <w:t>15000000</w:t>
            </w:r>
          </w:p>
        </w:tc>
        <w:tc>
          <w:tcPr>
            <w:tcW w:w="501" w:type="dxa"/>
          </w:tcPr>
          <w:p>
            <w:pPr>
              <w:pStyle w:val="TableParagraph"/>
              <w:rPr>
                <w:rFonts w:ascii="Times New Roman"/>
                <w:sz w:val="18"/>
              </w:rPr>
            </w:pP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spacing w:line="233" w:lineRule="exact"/>
              <w:ind w:right="89"/>
              <w:jc w:val="right"/>
              <w:rPr>
                <w:rFonts w:ascii="Bookman Old Style"/>
                <w:b w:val="0"/>
                <w:sz w:val="20"/>
              </w:rPr>
            </w:pPr>
            <w:r>
              <w:rPr>
                <w:rFonts w:ascii="Bookman Old Style"/>
                <w:b w:val="0"/>
                <w:w w:val="50"/>
                <w:sz w:val="20"/>
              </w:rPr>
              <w:t>15000000</w:t>
            </w:r>
          </w:p>
        </w:tc>
        <w:tc>
          <w:tcPr>
            <w:tcW w:w="1002" w:type="dxa"/>
          </w:tcPr>
          <w:p>
            <w:pPr>
              <w:pStyle w:val="TableParagraph"/>
              <w:spacing w:before="5"/>
              <w:ind w:right="90"/>
              <w:jc w:val="right"/>
              <w:rPr>
                <w:rFonts w:ascii="Times New Roman"/>
                <w:b/>
                <w:sz w:val="20"/>
              </w:rPr>
            </w:pPr>
            <w:r>
              <w:rPr>
                <w:rFonts w:ascii="Times New Roman"/>
                <w:b/>
                <w:w w:val="65"/>
                <w:sz w:val="20"/>
              </w:rPr>
              <w:t>75000000</w:t>
            </w:r>
          </w:p>
        </w:tc>
      </w:tr>
      <w:tr>
        <w:trPr>
          <w:trHeight w:val="316"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w w:val="65"/>
                <w:sz w:val="18"/>
              </w:rPr>
              <w:t>27</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20000</w:t>
            </w: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rPr>
                <w:rFonts w:ascii="Times New Roman"/>
                <w:sz w:val="18"/>
              </w:rPr>
            </w:pPr>
          </w:p>
        </w:tc>
        <w:tc>
          <w:tcPr>
            <w:tcW w:w="472" w:type="dxa"/>
          </w:tcPr>
          <w:p>
            <w:pPr>
              <w:pStyle w:val="TableParagraph"/>
              <w:spacing w:line="233" w:lineRule="exact"/>
              <w:ind w:left="28" w:right="29"/>
              <w:jc w:val="center"/>
              <w:rPr>
                <w:rFonts w:ascii="Bookman Old Style"/>
                <w:b w:val="0"/>
                <w:sz w:val="20"/>
              </w:rPr>
            </w:pPr>
            <w:r>
              <w:rPr>
                <w:rFonts w:ascii="Bookman Old Style"/>
                <w:b w:val="0"/>
                <w:w w:val="55"/>
                <w:sz w:val="20"/>
              </w:rPr>
              <w:t>20000</w:t>
            </w: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spacing w:line="233" w:lineRule="exact"/>
              <w:ind w:right="71"/>
              <w:jc w:val="right"/>
              <w:rPr>
                <w:rFonts w:ascii="Bookman Old Style"/>
                <w:b w:val="0"/>
                <w:sz w:val="20"/>
              </w:rPr>
            </w:pPr>
            <w:r>
              <w:rPr>
                <w:rFonts w:ascii="Bookman Old Style"/>
                <w:b w:val="0"/>
                <w:w w:val="50"/>
                <w:sz w:val="20"/>
              </w:rPr>
              <w:t>20000</w:t>
            </w: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spacing w:line="233" w:lineRule="exact"/>
              <w:ind w:left="25" w:right="42"/>
              <w:jc w:val="center"/>
              <w:rPr>
                <w:rFonts w:ascii="Bookman Old Style"/>
                <w:b w:val="0"/>
                <w:sz w:val="20"/>
              </w:rPr>
            </w:pPr>
            <w:r>
              <w:rPr>
                <w:rFonts w:ascii="Bookman Old Style"/>
                <w:b w:val="0"/>
                <w:w w:val="55"/>
                <w:sz w:val="20"/>
              </w:rPr>
              <w:t>20000</w:t>
            </w: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spacing w:line="233" w:lineRule="exact"/>
              <w:ind w:right="84"/>
              <w:jc w:val="right"/>
              <w:rPr>
                <w:rFonts w:ascii="Bookman Old Style"/>
                <w:b w:val="0"/>
                <w:sz w:val="20"/>
              </w:rPr>
            </w:pPr>
            <w:r>
              <w:rPr>
                <w:rFonts w:ascii="Bookman Old Style"/>
                <w:b w:val="0"/>
                <w:w w:val="50"/>
                <w:sz w:val="20"/>
              </w:rPr>
              <w:t>20000</w:t>
            </w: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100000</w:t>
            </w:r>
          </w:p>
        </w:tc>
      </w:tr>
      <w:tr>
        <w:trPr>
          <w:trHeight w:val="479" w:hRule="atLeast"/>
        </w:trPr>
        <w:tc>
          <w:tcPr>
            <w:tcW w:w="1037" w:type="dxa"/>
            <w:vMerge/>
            <w:tcBorders>
              <w:top w:val="nil"/>
            </w:tcBorders>
          </w:tcPr>
          <w:p>
            <w:pPr>
              <w:rPr>
                <w:sz w:val="2"/>
                <w:szCs w:val="2"/>
              </w:rPr>
            </w:pPr>
          </w:p>
        </w:tc>
        <w:tc>
          <w:tcPr>
            <w:tcW w:w="972" w:type="dxa"/>
            <w:shd w:val="clear" w:color="auto" w:fill="FFF1CC"/>
          </w:tcPr>
          <w:p>
            <w:pPr>
              <w:pStyle w:val="TableParagraph"/>
              <w:spacing w:line="209" w:lineRule="exact"/>
              <w:ind w:left="53" w:right="46"/>
              <w:jc w:val="center"/>
              <w:rPr>
                <w:rFonts w:ascii="Bookman Old Style"/>
                <w:b w:val="0"/>
                <w:sz w:val="18"/>
              </w:rPr>
            </w:pPr>
            <w:r>
              <w:rPr>
                <w:rFonts w:ascii="Bookman Old Style"/>
                <w:b w:val="0"/>
                <w:smallCaps/>
                <w:w w:val="53"/>
                <w:sz w:val="18"/>
              </w:rPr>
              <w:t>28</w:t>
            </w:r>
          </w:p>
        </w:tc>
        <w:tc>
          <w:tcPr>
            <w:tcW w:w="538" w:type="dxa"/>
          </w:tcPr>
          <w:p>
            <w:pPr>
              <w:pStyle w:val="TableParagraph"/>
              <w:spacing w:line="233" w:lineRule="exact"/>
              <w:ind w:right="62"/>
              <w:jc w:val="right"/>
              <w:rPr>
                <w:rFonts w:ascii="Bookman Old Style"/>
                <w:b w:val="0"/>
                <w:sz w:val="20"/>
              </w:rPr>
            </w:pPr>
            <w:r>
              <w:rPr>
                <w:rFonts w:ascii="Bookman Old Style"/>
                <w:b w:val="0"/>
                <w:w w:val="50"/>
                <w:sz w:val="20"/>
              </w:rPr>
              <w:t>10000</w:t>
            </w:r>
          </w:p>
        </w:tc>
        <w:tc>
          <w:tcPr>
            <w:tcW w:w="536" w:type="dxa"/>
          </w:tcPr>
          <w:p>
            <w:pPr>
              <w:pStyle w:val="TableParagraph"/>
              <w:rPr>
                <w:rFonts w:ascii="Times New Roman"/>
                <w:sz w:val="18"/>
              </w:rPr>
            </w:pPr>
          </w:p>
        </w:tc>
        <w:tc>
          <w:tcPr>
            <w:tcW w:w="597" w:type="dxa"/>
          </w:tcPr>
          <w:p>
            <w:pPr>
              <w:pStyle w:val="TableParagraph"/>
              <w:rPr>
                <w:rFonts w:ascii="Times New Roman"/>
                <w:sz w:val="18"/>
              </w:rPr>
            </w:pPr>
          </w:p>
        </w:tc>
        <w:tc>
          <w:tcPr>
            <w:tcW w:w="671" w:type="dxa"/>
          </w:tcPr>
          <w:p>
            <w:pPr>
              <w:pStyle w:val="TableParagraph"/>
              <w:rPr>
                <w:rFonts w:ascii="Times New Roman"/>
                <w:sz w:val="18"/>
              </w:rPr>
            </w:pPr>
          </w:p>
        </w:tc>
        <w:tc>
          <w:tcPr>
            <w:tcW w:w="472" w:type="dxa"/>
          </w:tcPr>
          <w:p>
            <w:pPr>
              <w:pStyle w:val="TableParagraph"/>
              <w:spacing w:line="233" w:lineRule="exact"/>
              <w:ind w:left="28" w:right="29"/>
              <w:jc w:val="center"/>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431" w:type="dxa"/>
          </w:tcPr>
          <w:p>
            <w:pPr>
              <w:pStyle w:val="TableParagraph"/>
              <w:rPr>
                <w:rFonts w:ascii="Times New Roman"/>
                <w:sz w:val="18"/>
              </w:rPr>
            </w:pPr>
          </w:p>
        </w:tc>
        <w:tc>
          <w:tcPr>
            <w:tcW w:w="609" w:type="dxa"/>
          </w:tcPr>
          <w:p>
            <w:pPr>
              <w:pStyle w:val="TableParagraph"/>
              <w:rPr>
                <w:rFonts w:ascii="Times New Roman"/>
                <w:sz w:val="18"/>
              </w:rPr>
            </w:pPr>
          </w:p>
        </w:tc>
        <w:tc>
          <w:tcPr>
            <w:tcW w:w="669" w:type="dxa"/>
          </w:tcPr>
          <w:p>
            <w:pPr>
              <w:pStyle w:val="TableParagraph"/>
              <w:rPr>
                <w:rFonts w:ascii="Times New Roman"/>
                <w:sz w:val="18"/>
              </w:rPr>
            </w:pPr>
          </w:p>
        </w:tc>
        <w:tc>
          <w:tcPr>
            <w:tcW w:w="501" w:type="dxa"/>
          </w:tcPr>
          <w:p>
            <w:pPr>
              <w:pStyle w:val="TableParagraph"/>
              <w:spacing w:line="233" w:lineRule="exact"/>
              <w:ind w:right="71"/>
              <w:jc w:val="right"/>
              <w:rPr>
                <w:rFonts w:ascii="Bookman Old Style"/>
                <w:b w:val="0"/>
                <w:sz w:val="20"/>
              </w:rPr>
            </w:pPr>
            <w:r>
              <w:rPr>
                <w:rFonts w:ascii="Bookman Old Style"/>
                <w:b w:val="0"/>
                <w:w w:val="50"/>
                <w:sz w:val="20"/>
              </w:rPr>
              <w:t>30000</w:t>
            </w:r>
          </w:p>
        </w:tc>
        <w:tc>
          <w:tcPr>
            <w:tcW w:w="501" w:type="dxa"/>
          </w:tcPr>
          <w:p>
            <w:pPr>
              <w:pStyle w:val="TableParagraph"/>
              <w:rPr>
                <w:rFonts w:ascii="Times New Roman"/>
                <w:sz w:val="18"/>
              </w:rPr>
            </w:pPr>
          </w:p>
        </w:tc>
        <w:tc>
          <w:tcPr>
            <w:tcW w:w="599" w:type="dxa"/>
          </w:tcPr>
          <w:p>
            <w:pPr>
              <w:pStyle w:val="TableParagraph"/>
              <w:rPr>
                <w:rFonts w:ascii="Times New Roman"/>
                <w:sz w:val="18"/>
              </w:rPr>
            </w:pPr>
          </w:p>
        </w:tc>
        <w:tc>
          <w:tcPr>
            <w:tcW w:w="669" w:type="dxa"/>
          </w:tcPr>
          <w:p>
            <w:pPr>
              <w:pStyle w:val="TableParagraph"/>
              <w:rPr>
                <w:rFonts w:ascii="Times New Roman"/>
                <w:sz w:val="18"/>
              </w:rPr>
            </w:pPr>
          </w:p>
        </w:tc>
        <w:tc>
          <w:tcPr>
            <w:tcW w:w="479" w:type="dxa"/>
          </w:tcPr>
          <w:p>
            <w:pPr>
              <w:pStyle w:val="TableParagraph"/>
              <w:spacing w:line="233" w:lineRule="exact"/>
              <w:ind w:left="25" w:right="42"/>
              <w:jc w:val="center"/>
              <w:rPr>
                <w:rFonts w:ascii="Bookman Old Style"/>
                <w:b w:val="0"/>
                <w:sz w:val="20"/>
              </w:rPr>
            </w:pPr>
            <w:r>
              <w:rPr>
                <w:rFonts w:ascii="Bookman Old Style"/>
                <w:b w:val="0"/>
                <w:w w:val="55"/>
                <w:sz w:val="20"/>
              </w:rPr>
              <w:t>20000</w:t>
            </w:r>
          </w:p>
        </w:tc>
        <w:tc>
          <w:tcPr>
            <w:tcW w:w="503" w:type="dxa"/>
          </w:tcPr>
          <w:p>
            <w:pPr>
              <w:pStyle w:val="TableParagraph"/>
              <w:rPr>
                <w:rFonts w:ascii="Times New Roman"/>
                <w:sz w:val="18"/>
              </w:rPr>
            </w:pPr>
          </w:p>
        </w:tc>
        <w:tc>
          <w:tcPr>
            <w:tcW w:w="516" w:type="dxa"/>
          </w:tcPr>
          <w:p>
            <w:pPr>
              <w:pStyle w:val="TableParagraph"/>
              <w:rPr>
                <w:rFonts w:ascii="Times New Roman"/>
                <w:sz w:val="18"/>
              </w:rPr>
            </w:pPr>
          </w:p>
        </w:tc>
        <w:tc>
          <w:tcPr>
            <w:tcW w:w="671" w:type="dxa"/>
          </w:tcPr>
          <w:p>
            <w:pPr>
              <w:pStyle w:val="TableParagraph"/>
              <w:rPr>
                <w:rFonts w:ascii="Times New Roman"/>
                <w:sz w:val="18"/>
              </w:rPr>
            </w:pPr>
          </w:p>
        </w:tc>
        <w:tc>
          <w:tcPr>
            <w:tcW w:w="501" w:type="dxa"/>
          </w:tcPr>
          <w:p>
            <w:pPr>
              <w:pStyle w:val="TableParagraph"/>
              <w:spacing w:line="233" w:lineRule="exact"/>
              <w:ind w:right="84"/>
              <w:jc w:val="right"/>
              <w:rPr>
                <w:rFonts w:ascii="Bookman Old Style"/>
                <w:b w:val="0"/>
                <w:sz w:val="20"/>
              </w:rPr>
            </w:pPr>
            <w:r>
              <w:rPr>
                <w:rFonts w:ascii="Bookman Old Style"/>
                <w:b w:val="0"/>
                <w:w w:val="50"/>
                <w:sz w:val="20"/>
              </w:rPr>
              <w:t>30000</w:t>
            </w:r>
          </w:p>
        </w:tc>
        <w:tc>
          <w:tcPr>
            <w:tcW w:w="479" w:type="dxa"/>
          </w:tcPr>
          <w:p>
            <w:pPr>
              <w:pStyle w:val="TableParagraph"/>
              <w:rPr>
                <w:rFonts w:ascii="Times New Roman"/>
                <w:sz w:val="18"/>
              </w:rPr>
            </w:pPr>
          </w:p>
        </w:tc>
        <w:tc>
          <w:tcPr>
            <w:tcW w:w="551" w:type="dxa"/>
          </w:tcPr>
          <w:p>
            <w:pPr>
              <w:pStyle w:val="TableParagraph"/>
              <w:rPr>
                <w:rFonts w:ascii="Times New Roman"/>
                <w:sz w:val="18"/>
              </w:rPr>
            </w:pPr>
          </w:p>
        </w:tc>
        <w:tc>
          <w:tcPr>
            <w:tcW w:w="669" w:type="dxa"/>
          </w:tcPr>
          <w:p>
            <w:pPr>
              <w:pStyle w:val="TableParagraph"/>
              <w:rPr>
                <w:rFonts w:ascii="Times New Roman"/>
                <w:sz w:val="18"/>
              </w:rPr>
            </w:pPr>
          </w:p>
        </w:tc>
        <w:tc>
          <w:tcPr>
            <w:tcW w:w="1002" w:type="dxa"/>
          </w:tcPr>
          <w:p>
            <w:pPr>
              <w:pStyle w:val="TableParagraph"/>
              <w:spacing w:before="5"/>
              <w:ind w:right="89"/>
              <w:jc w:val="right"/>
              <w:rPr>
                <w:rFonts w:ascii="Times New Roman"/>
                <w:b/>
                <w:sz w:val="20"/>
              </w:rPr>
            </w:pPr>
            <w:r>
              <w:rPr>
                <w:rFonts w:ascii="Times New Roman"/>
                <w:b/>
                <w:w w:val="65"/>
                <w:sz w:val="20"/>
              </w:rPr>
              <w:t>170000</w:t>
            </w:r>
          </w:p>
        </w:tc>
      </w:tr>
    </w:tbl>
    <w:p>
      <w:pPr>
        <w:spacing w:after="0"/>
        <w:jc w:val="right"/>
        <w:rPr>
          <w:rFonts w:ascii="Times New Roman"/>
          <w:sz w:val="20"/>
        </w:rPr>
        <w:sectPr>
          <w:pgSz w:w="16840" w:h="11910" w:orient="landscape"/>
          <w:pgMar w:header="0" w:footer="923" w:top="1100" w:bottom="1120" w:left="1240" w:right="12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9"/>
        <w:gridCol w:w="972"/>
        <w:gridCol w:w="511"/>
        <w:gridCol w:w="547"/>
        <w:gridCol w:w="608"/>
        <w:gridCol w:w="622"/>
        <w:gridCol w:w="442"/>
        <w:gridCol w:w="471"/>
        <w:gridCol w:w="620"/>
        <w:gridCol w:w="598"/>
        <w:gridCol w:w="510"/>
        <w:gridCol w:w="512"/>
        <w:gridCol w:w="608"/>
        <w:gridCol w:w="613"/>
        <w:gridCol w:w="491"/>
        <w:gridCol w:w="513"/>
        <w:gridCol w:w="607"/>
        <w:gridCol w:w="587"/>
        <w:gridCol w:w="513"/>
        <w:gridCol w:w="491"/>
        <w:gridCol w:w="606"/>
        <w:gridCol w:w="657"/>
        <w:gridCol w:w="1014"/>
      </w:tblGrid>
      <w:tr>
        <w:trPr>
          <w:trHeight w:val="498" w:hRule="atLeast"/>
        </w:trPr>
        <w:tc>
          <w:tcPr>
            <w:tcW w:w="1049" w:type="dxa"/>
            <w:shd w:val="clear" w:color="auto" w:fill="FF0000"/>
          </w:tcPr>
          <w:p>
            <w:pPr>
              <w:pStyle w:val="TableParagraph"/>
              <w:spacing w:before="2"/>
              <w:ind w:left="69"/>
              <w:rPr>
                <w:rFonts w:ascii="Times New Roman"/>
                <w:b/>
                <w:sz w:val="18"/>
              </w:rPr>
            </w:pPr>
            <w:r>
              <w:rPr>
                <w:rFonts w:ascii="Times New Roman"/>
                <w:b/>
                <w:w w:val="75"/>
                <w:sz w:val="18"/>
              </w:rPr>
              <w:t>DIMENSION</w:t>
            </w:r>
          </w:p>
          <w:p>
            <w:pPr>
              <w:pStyle w:val="TableParagraph"/>
              <w:spacing w:before="42"/>
              <w:ind w:left="69"/>
              <w:rPr>
                <w:rFonts w:ascii="Times New Roman"/>
                <w:b/>
                <w:sz w:val="18"/>
              </w:rPr>
            </w:pPr>
            <w:r>
              <w:rPr>
                <w:rFonts w:ascii="Times New Roman"/>
                <w:b/>
                <w:w w:val="75"/>
                <w:sz w:val="18"/>
              </w:rPr>
              <w:t>RUWAY</w:t>
            </w:r>
          </w:p>
        </w:tc>
        <w:tc>
          <w:tcPr>
            <w:tcW w:w="972" w:type="dxa"/>
            <w:shd w:val="clear" w:color="auto" w:fill="FF0000"/>
          </w:tcPr>
          <w:p>
            <w:pPr>
              <w:pStyle w:val="TableParagraph"/>
              <w:rPr>
                <w:rFonts w:ascii="Times New Roman"/>
                <w:sz w:val="18"/>
              </w:rPr>
            </w:pPr>
          </w:p>
        </w:tc>
        <w:tc>
          <w:tcPr>
            <w:tcW w:w="2288" w:type="dxa"/>
            <w:gridSpan w:val="4"/>
            <w:shd w:val="clear" w:color="auto" w:fill="6F2F9F"/>
          </w:tcPr>
          <w:p>
            <w:pPr>
              <w:pStyle w:val="TableParagraph"/>
              <w:spacing w:line="209" w:lineRule="exact"/>
              <w:ind w:left="600"/>
              <w:rPr>
                <w:rFonts w:ascii="Bookman Old Style" w:hAnsi="Bookman Old Style"/>
                <w:b w:val="0"/>
                <w:sz w:val="18"/>
              </w:rPr>
            </w:pPr>
            <w:r>
              <w:rPr>
                <w:rFonts w:ascii="Bookman Old Style" w:hAnsi="Bookman Old Style"/>
                <w:b w:val="0"/>
                <w:color w:val="FFFFFF"/>
                <w:w w:val="65"/>
                <w:sz w:val="18"/>
              </w:rPr>
              <w:t>año 1 (por trimestres)</w:t>
            </w:r>
          </w:p>
        </w:tc>
        <w:tc>
          <w:tcPr>
            <w:tcW w:w="2131" w:type="dxa"/>
            <w:gridSpan w:val="4"/>
            <w:shd w:val="clear" w:color="auto" w:fill="C55811"/>
          </w:tcPr>
          <w:p>
            <w:pPr>
              <w:pStyle w:val="TableParagraph"/>
              <w:spacing w:line="209" w:lineRule="exact"/>
              <w:ind w:left="520"/>
              <w:rPr>
                <w:rFonts w:ascii="Bookman Old Style" w:hAnsi="Bookman Old Style"/>
                <w:b w:val="0"/>
                <w:sz w:val="18"/>
              </w:rPr>
            </w:pPr>
            <w:r>
              <w:rPr>
                <w:rFonts w:ascii="Bookman Old Style" w:hAnsi="Bookman Old Style"/>
                <w:b w:val="0"/>
                <w:color w:val="FFFFFF"/>
                <w:w w:val="65"/>
                <w:sz w:val="18"/>
              </w:rPr>
              <w:t>año 2 (por trimestres)</w:t>
            </w:r>
          </w:p>
        </w:tc>
        <w:tc>
          <w:tcPr>
            <w:tcW w:w="2243" w:type="dxa"/>
            <w:gridSpan w:val="4"/>
          </w:tcPr>
          <w:p>
            <w:pPr>
              <w:pStyle w:val="TableParagraph"/>
              <w:spacing w:line="209" w:lineRule="exact"/>
              <w:ind w:left="571"/>
              <w:rPr>
                <w:rFonts w:ascii="Bookman Old Style" w:hAnsi="Bookman Old Style"/>
                <w:b w:val="0"/>
                <w:sz w:val="18"/>
              </w:rPr>
            </w:pPr>
            <w:r>
              <w:rPr>
                <w:rFonts w:ascii="Bookman Old Style" w:hAnsi="Bookman Old Style"/>
                <w:b w:val="0"/>
                <w:w w:val="65"/>
                <w:sz w:val="18"/>
              </w:rPr>
              <w:t>año 3 (por trimestres)</w:t>
            </w:r>
          </w:p>
        </w:tc>
        <w:tc>
          <w:tcPr>
            <w:tcW w:w="2198" w:type="dxa"/>
            <w:gridSpan w:val="4"/>
            <w:shd w:val="clear" w:color="auto" w:fill="66FF33"/>
          </w:tcPr>
          <w:p>
            <w:pPr>
              <w:pStyle w:val="TableParagraph"/>
              <w:spacing w:line="209" w:lineRule="exact"/>
              <w:ind w:left="546"/>
              <w:rPr>
                <w:rFonts w:ascii="Bookman Old Style" w:hAnsi="Bookman Old Style"/>
                <w:b w:val="0"/>
                <w:sz w:val="18"/>
              </w:rPr>
            </w:pPr>
            <w:r>
              <w:rPr>
                <w:rFonts w:ascii="Bookman Old Style" w:hAnsi="Bookman Old Style"/>
                <w:b w:val="0"/>
                <w:w w:val="50"/>
                <w:sz w:val="18"/>
              </w:rPr>
              <w:t>añ</w:t>
            </w:r>
            <w:r>
              <w:rPr>
                <w:rFonts w:ascii="Bookman Old Style" w:hAnsi="Bookman Old Style"/>
                <w:b w:val="0"/>
                <w:w w:val="58"/>
                <w:sz w:val="18"/>
              </w:rPr>
              <w:t>o</w:t>
            </w:r>
            <w:r>
              <w:rPr>
                <w:rFonts w:ascii="Bookman Old Style" w:hAnsi="Bookman Old Style"/>
                <w:b w:val="0"/>
                <w:spacing w:val="-29"/>
                <w:sz w:val="18"/>
              </w:rPr>
              <w:t> </w:t>
            </w:r>
            <w:r>
              <w:rPr>
                <w:rFonts w:ascii="Bookman Old Style" w:hAnsi="Bookman Old Style"/>
                <w:b w:val="0"/>
                <w:smallCaps/>
                <w:w w:val="53"/>
                <w:sz w:val="18"/>
              </w:rPr>
              <w:t>4</w:t>
            </w:r>
            <w:r>
              <w:rPr>
                <w:rFonts w:ascii="Bookman Old Style" w:hAnsi="Bookman Old Style"/>
                <w:b w:val="0"/>
                <w:smallCaps w:val="0"/>
                <w:sz w:val="18"/>
              </w:rPr>
              <w:t> </w:t>
            </w:r>
            <w:r>
              <w:rPr>
                <w:rFonts w:ascii="Bookman Old Style" w:hAnsi="Bookman Old Style"/>
                <w:b w:val="0"/>
                <w:smallCaps w:val="0"/>
                <w:spacing w:val="-29"/>
                <w:sz w:val="18"/>
              </w:rPr>
              <w:t> </w:t>
            </w:r>
            <w:r>
              <w:rPr>
                <w:rFonts w:ascii="Bookman Old Style" w:hAnsi="Bookman Old Style"/>
                <w:b w:val="0"/>
                <w:smallCaps w:val="0"/>
                <w:spacing w:val="-2"/>
                <w:w w:val="73"/>
                <w:sz w:val="18"/>
              </w:rPr>
              <w:t>(</w:t>
            </w:r>
            <w:r>
              <w:rPr>
                <w:rFonts w:ascii="Bookman Old Style" w:hAnsi="Bookman Old Style"/>
                <w:b w:val="0"/>
                <w:smallCaps w:val="0"/>
                <w:w w:val="53"/>
                <w:sz w:val="18"/>
              </w:rPr>
              <w:t>p</w:t>
            </w:r>
            <w:r>
              <w:rPr>
                <w:rFonts w:ascii="Bookman Old Style" w:hAnsi="Bookman Old Style"/>
                <w:b w:val="0"/>
                <w:smallCaps w:val="0"/>
                <w:w w:val="58"/>
                <w:sz w:val="18"/>
              </w:rPr>
              <w:t>o</w:t>
            </w:r>
            <w:r>
              <w:rPr>
                <w:rFonts w:ascii="Bookman Old Style" w:hAnsi="Bookman Old Style"/>
                <w:b w:val="0"/>
                <w:smallCaps w:val="0"/>
                <w:w w:val="49"/>
                <w:sz w:val="18"/>
              </w:rPr>
              <w:t>r</w:t>
            </w:r>
            <w:r>
              <w:rPr>
                <w:rFonts w:ascii="Bookman Old Style" w:hAnsi="Bookman Old Style"/>
                <w:b w:val="0"/>
                <w:smallCaps w:val="0"/>
                <w:spacing w:val="-28"/>
                <w:sz w:val="18"/>
              </w:rPr>
              <w:t> </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61"/>
                <w:sz w:val="18"/>
              </w:rPr>
              <w:t>i</w:t>
            </w:r>
            <w:r>
              <w:rPr>
                <w:rFonts w:ascii="Bookman Old Style" w:hAnsi="Bookman Old Style"/>
                <w:b w:val="0"/>
                <w:smallCaps w:val="0"/>
                <w:spacing w:val="1"/>
                <w:w w:val="54"/>
                <w:sz w:val="18"/>
              </w:rPr>
              <w:t>m</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73"/>
                <w:sz w:val="18"/>
              </w:rPr>
              <w:t>)</w:t>
            </w:r>
          </w:p>
        </w:tc>
        <w:tc>
          <w:tcPr>
            <w:tcW w:w="2267" w:type="dxa"/>
            <w:gridSpan w:val="4"/>
            <w:shd w:val="clear" w:color="auto" w:fill="FF3300"/>
          </w:tcPr>
          <w:p>
            <w:pPr>
              <w:pStyle w:val="TableParagraph"/>
              <w:spacing w:line="209" w:lineRule="exact"/>
              <w:ind w:left="575"/>
              <w:rPr>
                <w:rFonts w:ascii="Bookman Old Style" w:hAnsi="Bookman Old Style"/>
                <w:b w:val="0"/>
                <w:sz w:val="18"/>
              </w:rPr>
            </w:pPr>
            <w:r>
              <w:rPr>
                <w:rFonts w:ascii="Bookman Old Style" w:hAnsi="Bookman Old Style"/>
                <w:b w:val="0"/>
                <w:w w:val="65"/>
                <w:sz w:val="18"/>
              </w:rPr>
              <w:t>año 5 (por trimestres)</w:t>
            </w:r>
          </w:p>
        </w:tc>
        <w:tc>
          <w:tcPr>
            <w:tcW w:w="1014" w:type="dxa"/>
          </w:tcPr>
          <w:p>
            <w:pPr>
              <w:pStyle w:val="TableParagraph"/>
              <w:spacing w:before="2"/>
              <w:ind w:left="51"/>
              <w:rPr>
                <w:rFonts w:ascii="Times New Roman"/>
                <w:b/>
                <w:sz w:val="18"/>
              </w:rPr>
            </w:pPr>
            <w:r>
              <w:rPr>
                <w:rFonts w:ascii="Times New Roman"/>
                <w:b/>
                <w:w w:val="75"/>
                <w:sz w:val="18"/>
              </w:rPr>
              <w:t>Subsubtotal por</w:t>
            </w:r>
          </w:p>
          <w:p>
            <w:pPr>
              <w:pStyle w:val="TableParagraph"/>
              <w:spacing w:before="42"/>
              <w:ind w:left="51"/>
              <w:rPr>
                <w:rFonts w:ascii="Times New Roman"/>
                <w:b/>
                <w:sz w:val="18"/>
              </w:rPr>
            </w:pPr>
            <w:r>
              <w:rPr>
                <w:rFonts w:ascii="Times New Roman"/>
                <w:b/>
                <w:w w:val="75"/>
                <w:sz w:val="18"/>
              </w:rPr>
              <w:t>actividad</w:t>
            </w:r>
          </w:p>
        </w:tc>
      </w:tr>
      <w:tr>
        <w:trPr>
          <w:trHeight w:val="973" w:hRule="atLeast"/>
        </w:trPr>
        <w:tc>
          <w:tcPr>
            <w:tcW w:w="1049" w:type="dxa"/>
            <w:shd w:val="clear" w:color="auto" w:fill="FF0000"/>
          </w:tcPr>
          <w:p>
            <w:pPr>
              <w:pStyle w:val="TableParagraph"/>
              <w:spacing w:before="2"/>
              <w:ind w:left="69"/>
              <w:rPr>
                <w:rFonts w:ascii="Times New Roman"/>
                <w:b/>
                <w:sz w:val="18"/>
              </w:rPr>
            </w:pPr>
            <w:r>
              <w:rPr>
                <w:rFonts w:ascii="Times New Roman"/>
                <w:b/>
                <w:w w:val="70"/>
                <w:sz w:val="18"/>
              </w:rPr>
              <w:t>RESULTADOS</w:t>
            </w:r>
          </w:p>
        </w:tc>
        <w:tc>
          <w:tcPr>
            <w:tcW w:w="972" w:type="dxa"/>
            <w:shd w:val="clear" w:color="auto" w:fill="FF0000"/>
          </w:tcPr>
          <w:p>
            <w:pPr>
              <w:pStyle w:val="TableParagraph"/>
              <w:spacing w:before="2"/>
              <w:ind w:left="56" w:right="46"/>
              <w:jc w:val="center"/>
              <w:rPr>
                <w:rFonts w:ascii="Times New Roman"/>
                <w:b/>
                <w:sz w:val="18"/>
              </w:rPr>
            </w:pPr>
            <w:r>
              <w:rPr>
                <w:rFonts w:ascii="Times New Roman"/>
                <w:b/>
                <w:w w:val="65"/>
                <w:sz w:val="18"/>
              </w:rPr>
              <w:t>ACTIVIDADES</w:t>
            </w:r>
          </w:p>
        </w:tc>
        <w:tc>
          <w:tcPr>
            <w:tcW w:w="511" w:type="dxa"/>
          </w:tcPr>
          <w:p>
            <w:pPr>
              <w:pStyle w:val="TableParagraph"/>
              <w:spacing w:before="2"/>
              <w:ind w:left="225"/>
              <w:rPr>
                <w:rFonts w:ascii="Times New Roman"/>
                <w:b/>
                <w:sz w:val="18"/>
              </w:rPr>
            </w:pPr>
            <w:r>
              <w:rPr>
                <w:rFonts w:ascii="Times New Roman"/>
                <w:b/>
                <w:w w:val="66"/>
                <w:sz w:val="18"/>
              </w:rPr>
              <w:t>1</w:t>
            </w:r>
          </w:p>
        </w:tc>
        <w:tc>
          <w:tcPr>
            <w:tcW w:w="547" w:type="dxa"/>
          </w:tcPr>
          <w:p>
            <w:pPr>
              <w:pStyle w:val="TableParagraph"/>
              <w:spacing w:before="2"/>
              <w:ind w:left="7"/>
              <w:jc w:val="center"/>
              <w:rPr>
                <w:rFonts w:ascii="Times New Roman"/>
                <w:b/>
                <w:sz w:val="18"/>
              </w:rPr>
            </w:pPr>
            <w:r>
              <w:rPr>
                <w:rFonts w:ascii="Times New Roman"/>
                <w:b/>
                <w:w w:val="66"/>
                <w:sz w:val="18"/>
              </w:rPr>
              <w:t>2</w:t>
            </w:r>
          </w:p>
        </w:tc>
        <w:tc>
          <w:tcPr>
            <w:tcW w:w="608" w:type="dxa"/>
          </w:tcPr>
          <w:p>
            <w:pPr>
              <w:pStyle w:val="TableParagraph"/>
              <w:spacing w:line="209" w:lineRule="exact"/>
              <w:ind w:right="57"/>
              <w:jc w:val="right"/>
              <w:rPr>
                <w:rFonts w:ascii="Bookman Old Style"/>
                <w:b w:val="0"/>
                <w:sz w:val="18"/>
              </w:rPr>
            </w:pPr>
            <w:r>
              <w:rPr>
                <w:rFonts w:ascii="Bookman Old Style"/>
                <w:b w:val="0"/>
                <w:w w:val="53"/>
                <w:sz w:val="18"/>
              </w:rPr>
              <w:t>3</w:t>
            </w:r>
          </w:p>
        </w:tc>
        <w:tc>
          <w:tcPr>
            <w:tcW w:w="622" w:type="dxa"/>
          </w:tcPr>
          <w:p>
            <w:pPr>
              <w:pStyle w:val="TableParagraph"/>
              <w:spacing w:line="209" w:lineRule="exact"/>
              <w:ind w:right="58"/>
              <w:jc w:val="right"/>
              <w:rPr>
                <w:rFonts w:ascii="Bookman Old Style"/>
                <w:b w:val="0"/>
                <w:sz w:val="18"/>
              </w:rPr>
            </w:pPr>
            <w:r>
              <w:rPr>
                <w:rFonts w:ascii="Bookman Old Style"/>
                <w:b w:val="0"/>
                <w:smallCaps/>
                <w:w w:val="53"/>
                <w:sz w:val="18"/>
              </w:rPr>
              <w:t>4</w:t>
            </w:r>
          </w:p>
        </w:tc>
        <w:tc>
          <w:tcPr>
            <w:tcW w:w="442" w:type="dxa"/>
          </w:tcPr>
          <w:p>
            <w:pPr>
              <w:pStyle w:val="TableParagraph"/>
              <w:spacing w:before="2"/>
              <w:ind w:left="6"/>
              <w:jc w:val="center"/>
              <w:rPr>
                <w:rFonts w:ascii="Times New Roman"/>
                <w:b/>
                <w:sz w:val="18"/>
              </w:rPr>
            </w:pPr>
            <w:r>
              <w:rPr>
                <w:rFonts w:ascii="Times New Roman"/>
                <w:b/>
                <w:w w:val="66"/>
                <w:sz w:val="18"/>
              </w:rPr>
              <w:t>1</w:t>
            </w:r>
          </w:p>
        </w:tc>
        <w:tc>
          <w:tcPr>
            <w:tcW w:w="471" w:type="dxa"/>
          </w:tcPr>
          <w:p>
            <w:pPr>
              <w:pStyle w:val="TableParagraph"/>
              <w:spacing w:before="2"/>
              <w:ind w:left="5"/>
              <w:jc w:val="center"/>
              <w:rPr>
                <w:rFonts w:ascii="Times New Roman"/>
                <w:b/>
                <w:sz w:val="18"/>
              </w:rPr>
            </w:pPr>
            <w:r>
              <w:rPr>
                <w:rFonts w:ascii="Times New Roman"/>
                <w:b/>
                <w:w w:val="66"/>
                <w:sz w:val="18"/>
              </w:rPr>
              <w:t>2</w:t>
            </w:r>
          </w:p>
        </w:tc>
        <w:tc>
          <w:tcPr>
            <w:tcW w:w="620" w:type="dxa"/>
          </w:tcPr>
          <w:p>
            <w:pPr>
              <w:pStyle w:val="TableParagraph"/>
              <w:spacing w:line="209" w:lineRule="exact"/>
              <w:ind w:right="60"/>
              <w:jc w:val="right"/>
              <w:rPr>
                <w:rFonts w:ascii="Bookman Old Style"/>
                <w:b w:val="0"/>
                <w:sz w:val="18"/>
              </w:rPr>
            </w:pPr>
            <w:r>
              <w:rPr>
                <w:rFonts w:ascii="Bookman Old Style"/>
                <w:b w:val="0"/>
                <w:w w:val="53"/>
                <w:sz w:val="18"/>
              </w:rPr>
              <w:t>3</w:t>
            </w:r>
          </w:p>
        </w:tc>
        <w:tc>
          <w:tcPr>
            <w:tcW w:w="598" w:type="dxa"/>
          </w:tcPr>
          <w:p>
            <w:pPr>
              <w:pStyle w:val="TableParagraph"/>
              <w:spacing w:line="209" w:lineRule="exact"/>
              <w:ind w:right="62"/>
              <w:jc w:val="right"/>
              <w:rPr>
                <w:rFonts w:ascii="Bookman Old Style"/>
                <w:b w:val="0"/>
                <w:sz w:val="18"/>
              </w:rPr>
            </w:pPr>
            <w:r>
              <w:rPr>
                <w:rFonts w:ascii="Bookman Old Style"/>
                <w:b w:val="0"/>
                <w:smallCaps/>
                <w:w w:val="53"/>
                <w:sz w:val="18"/>
              </w:rPr>
              <w:t>4</w:t>
            </w:r>
          </w:p>
        </w:tc>
        <w:tc>
          <w:tcPr>
            <w:tcW w:w="510" w:type="dxa"/>
          </w:tcPr>
          <w:p>
            <w:pPr>
              <w:pStyle w:val="TableParagraph"/>
              <w:spacing w:before="2"/>
              <w:ind w:left="221"/>
              <w:rPr>
                <w:rFonts w:ascii="Times New Roman"/>
                <w:b/>
                <w:sz w:val="18"/>
              </w:rPr>
            </w:pPr>
            <w:r>
              <w:rPr>
                <w:rFonts w:ascii="Times New Roman"/>
                <w:b/>
                <w:w w:val="66"/>
                <w:sz w:val="18"/>
              </w:rPr>
              <w:t>1</w:t>
            </w:r>
          </w:p>
        </w:tc>
        <w:tc>
          <w:tcPr>
            <w:tcW w:w="512" w:type="dxa"/>
          </w:tcPr>
          <w:p>
            <w:pPr>
              <w:pStyle w:val="TableParagraph"/>
              <w:spacing w:before="2"/>
              <w:ind w:left="2"/>
              <w:jc w:val="center"/>
              <w:rPr>
                <w:rFonts w:ascii="Times New Roman"/>
                <w:b/>
                <w:sz w:val="18"/>
              </w:rPr>
            </w:pPr>
            <w:r>
              <w:rPr>
                <w:rFonts w:ascii="Times New Roman"/>
                <w:b/>
                <w:w w:val="66"/>
                <w:sz w:val="18"/>
              </w:rPr>
              <w:t>2</w:t>
            </w:r>
          </w:p>
        </w:tc>
        <w:tc>
          <w:tcPr>
            <w:tcW w:w="608" w:type="dxa"/>
          </w:tcPr>
          <w:p>
            <w:pPr>
              <w:pStyle w:val="TableParagraph"/>
              <w:spacing w:line="209" w:lineRule="exact"/>
              <w:ind w:right="62"/>
              <w:jc w:val="right"/>
              <w:rPr>
                <w:rFonts w:ascii="Bookman Old Style"/>
                <w:b w:val="0"/>
                <w:sz w:val="18"/>
              </w:rPr>
            </w:pPr>
            <w:r>
              <w:rPr>
                <w:rFonts w:ascii="Bookman Old Style"/>
                <w:b w:val="0"/>
                <w:w w:val="53"/>
                <w:sz w:val="18"/>
              </w:rPr>
              <w:t>3</w:t>
            </w:r>
          </w:p>
        </w:tc>
        <w:tc>
          <w:tcPr>
            <w:tcW w:w="613" w:type="dxa"/>
          </w:tcPr>
          <w:p>
            <w:pPr>
              <w:pStyle w:val="TableParagraph"/>
              <w:spacing w:line="209" w:lineRule="exact"/>
              <w:ind w:right="66"/>
              <w:jc w:val="right"/>
              <w:rPr>
                <w:rFonts w:ascii="Bookman Old Style"/>
                <w:b w:val="0"/>
                <w:sz w:val="18"/>
              </w:rPr>
            </w:pPr>
            <w:r>
              <w:rPr>
                <w:rFonts w:ascii="Bookman Old Style"/>
                <w:b w:val="0"/>
                <w:smallCaps/>
                <w:w w:val="53"/>
                <w:sz w:val="18"/>
              </w:rPr>
              <w:t>4</w:t>
            </w:r>
          </w:p>
        </w:tc>
        <w:tc>
          <w:tcPr>
            <w:tcW w:w="491" w:type="dxa"/>
          </w:tcPr>
          <w:p>
            <w:pPr>
              <w:pStyle w:val="TableParagraph"/>
              <w:spacing w:before="2"/>
              <w:ind w:left="207"/>
              <w:rPr>
                <w:rFonts w:ascii="Times New Roman"/>
                <w:b/>
                <w:sz w:val="18"/>
              </w:rPr>
            </w:pPr>
            <w:r>
              <w:rPr>
                <w:rFonts w:ascii="Times New Roman"/>
                <w:b/>
                <w:w w:val="66"/>
                <w:sz w:val="18"/>
              </w:rPr>
              <w:t>1</w:t>
            </w:r>
          </w:p>
        </w:tc>
        <w:tc>
          <w:tcPr>
            <w:tcW w:w="513" w:type="dxa"/>
          </w:tcPr>
          <w:p>
            <w:pPr>
              <w:pStyle w:val="TableParagraph"/>
              <w:spacing w:before="2"/>
              <w:ind w:right="4"/>
              <w:jc w:val="center"/>
              <w:rPr>
                <w:rFonts w:ascii="Times New Roman"/>
                <w:b/>
                <w:sz w:val="18"/>
              </w:rPr>
            </w:pPr>
            <w:r>
              <w:rPr>
                <w:rFonts w:ascii="Times New Roman"/>
                <w:b/>
                <w:w w:val="66"/>
                <w:sz w:val="18"/>
              </w:rPr>
              <w:t>2</w:t>
            </w:r>
          </w:p>
        </w:tc>
        <w:tc>
          <w:tcPr>
            <w:tcW w:w="607" w:type="dxa"/>
          </w:tcPr>
          <w:p>
            <w:pPr>
              <w:pStyle w:val="TableParagraph"/>
              <w:spacing w:line="209" w:lineRule="exact"/>
              <w:ind w:right="71"/>
              <w:jc w:val="right"/>
              <w:rPr>
                <w:rFonts w:ascii="Bookman Old Style"/>
                <w:b w:val="0"/>
                <w:sz w:val="18"/>
              </w:rPr>
            </w:pPr>
            <w:r>
              <w:rPr>
                <w:rFonts w:ascii="Bookman Old Style"/>
                <w:b w:val="0"/>
                <w:w w:val="53"/>
                <w:sz w:val="18"/>
              </w:rPr>
              <w:t>3</w:t>
            </w:r>
          </w:p>
        </w:tc>
        <w:tc>
          <w:tcPr>
            <w:tcW w:w="587" w:type="dxa"/>
          </w:tcPr>
          <w:p>
            <w:pPr>
              <w:pStyle w:val="TableParagraph"/>
              <w:spacing w:line="209" w:lineRule="exact"/>
              <w:ind w:right="70"/>
              <w:jc w:val="right"/>
              <w:rPr>
                <w:rFonts w:ascii="Bookman Old Style"/>
                <w:b w:val="0"/>
                <w:sz w:val="18"/>
              </w:rPr>
            </w:pPr>
            <w:r>
              <w:rPr>
                <w:rFonts w:ascii="Bookman Old Style"/>
                <w:b w:val="0"/>
                <w:smallCaps/>
                <w:w w:val="53"/>
                <w:sz w:val="18"/>
              </w:rPr>
              <w:t>4</w:t>
            </w:r>
          </w:p>
        </w:tc>
        <w:tc>
          <w:tcPr>
            <w:tcW w:w="513" w:type="dxa"/>
          </w:tcPr>
          <w:p>
            <w:pPr>
              <w:pStyle w:val="TableParagraph"/>
              <w:spacing w:line="209" w:lineRule="exact"/>
              <w:ind w:right="71"/>
              <w:jc w:val="right"/>
              <w:rPr>
                <w:rFonts w:ascii="Bookman Old Style"/>
                <w:b w:val="0"/>
                <w:sz w:val="18"/>
              </w:rPr>
            </w:pPr>
            <w:r>
              <w:rPr>
                <w:rFonts w:ascii="Bookman Old Style"/>
                <w:b w:val="0"/>
                <w:w w:val="53"/>
                <w:sz w:val="18"/>
              </w:rPr>
              <w:t>1</w:t>
            </w:r>
          </w:p>
        </w:tc>
        <w:tc>
          <w:tcPr>
            <w:tcW w:w="491" w:type="dxa"/>
          </w:tcPr>
          <w:p>
            <w:pPr>
              <w:pStyle w:val="TableParagraph"/>
              <w:spacing w:line="209" w:lineRule="exact"/>
              <w:ind w:right="73"/>
              <w:jc w:val="right"/>
              <w:rPr>
                <w:rFonts w:ascii="Bookman Old Style"/>
                <w:b w:val="0"/>
                <w:sz w:val="18"/>
              </w:rPr>
            </w:pPr>
            <w:r>
              <w:rPr>
                <w:rFonts w:ascii="Bookman Old Style"/>
                <w:b w:val="0"/>
                <w:w w:val="53"/>
                <w:sz w:val="18"/>
              </w:rPr>
              <w:t>2</w:t>
            </w:r>
          </w:p>
        </w:tc>
        <w:tc>
          <w:tcPr>
            <w:tcW w:w="606" w:type="dxa"/>
          </w:tcPr>
          <w:p>
            <w:pPr>
              <w:pStyle w:val="TableParagraph"/>
              <w:spacing w:line="209" w:lineRule="exact"/>
              <w:ind w:right="76"/>
              <w:jc w:val="right"/>
              <w:rPr>
                <w:rFonts w:ascii="Bookman Old Style"/>
                <w:b w:val="0"/>
                <w:sz w:val="18"/>
              </w:rPr>
            </w:pPr>
            <w:r>
              <w:rPr>
                <w:rFonts w:ascii="Bookman Old Style"/>
                <w:b w:val="0"/>
                <w:w w:val="53"/>
                <w:sz w:val="18"/>
              </w:rPr>
              <w:t>3</w:t>
            </w:r>
          </w:p>
        </w:tc>
        <w:tc>
          <w:tcPr>
            <w:tcW w:w="657" w:type="dxa"/>
          </w:tcPr>
          <w:p>
            <w:pPr>
              <w:pStyle w:val="TableParagraph"/>
              <w:spacing w:line="209" w:lineRule="exact"/>
              <w:ind w:right="76"/>
              <w:jc w:val="right"/>
              <w:rPr>
                <w:rFonts w:ascii="Bookman Old Style"/>
                <w:b w:val="0"/>
                <w:sz w:val="18"/>
              </w:rPr>
            </w:pPr>
            <w:r>
              <w:rPr>
                <w:rFonts w:ascii="Bookman Old Style"/>
                <w:b w:val="0"/>
                <w:smallCaps/>
                <w:w w:val="53"/>
                <w:sz w:val="18"/>
              </w:rPr>
              <w:t>4</w:t>
            </w:r>
          </w:p>
        </w:tc>
        <w:tc>
          <w:tcPr>
            <w:tcW w:w="1014" w:type="dxa"/>
          </w:tcPr>
          <w:p>
            <w:pPr>
              <w:pStyle w:val="TableParagraph"/>
              <w:rPr>
                <w:rFonts w:ascii="Times New Roman"/>
                <w:sz w:val="18"/>
              </w:rPr>
            </w:pPr>
          </w:p>
        </w:tc>
      </w:tr>
      <w:tr>
        <w:trPr>
          <w:trHeight w:val="376" w:hRule="atLeast"/>
        </w:trPr>
        <w:tc>
          <w:tcPr>
            <w:tcW w:w="1049" w:type="dxa"/>
            <w:vMerge w:val="restart"/>
          </w:tcPr>
          <w:p>
            <w:pPr>
              <w:pStyle w:val="TableParagraph"/>
              <w:spacing w:line="209" w:lineRule="exact"/>
              <w:ind w:left="69"/>
              <w:rPr>
                <w:rFonts w:ascii="Bookman Old Style"/>
                <w:b w:val="0"/>
                <w:sz w:val="18"/>
              </w:rPr>
            </w:pPr>
            <w:r>
              <w:rPr>
                <w:rFonts w:ascii="Bookman Old Style"/>
                <w:b w:val="0"/>
                <w:spacing w:val="-1"/>
                <w:w w:val="58"/>
                <w:sz w:val="18"/>
              </w:rPr>
              <w:t>R.</w:t>
            </w:r>
            <w:r>
              <w:rPr>
                <w:rFonts w:ascii="Bookman Old Style"/>
                <w:b w:val="0"/>
                <w:smallCaps/>
                <w:w w:val="53"/>
                <w:sz w:val="18"/>
              </w:rPr>
              <w:t>8</w:t>
            </w:r>
          </w:p>
        </w:tc>
        <w:tc>
          <w:tcPr>
            <w:tcW w:w="972" w:type="dxa"/>
            <w:shd w:val="clear" w:color="auto" w:fill="FBE3D5"/>
          </w:tcPr>
          <w:p>
            <w:pPr>
              <w:pStyle w:val="TableParagraph"/>
              <w:spacing w:line="209" w:lineRule="exact"/>
              <w:ind w:left="53" w:right="46"/>
              <w:jc w:val="center"/>
              <w:rPr>
                <w:rFonts w:ascii="Bookman Old Style"/>
                <w:b w:val="0"/>
                <w:sz w:val="18"/>
              </w:rPr>
            </w:pPr>
            <w:r>
              <w:rPr>
                <w:rFonts w:ascii="Bookman Old Style"/>
                <w:b w:val="0"/>
                <w:w w:val="65"/>
                <w:sz w:val="18"/>
              </w:rPr>
              <w:t>29</w:t>
            </w:r>
          </w:p>
        </w:tc>
        <w:tc>
          <w:tcPr>
            <w:tcW w:w="511" w:type="dxa"/>
          </w:tcPr>
          <w:p>
            <w:pPr>
              <w:pStyle w:val="TableParagraph"/>
              <w:rPr>
                <w:rFonts w:ascii="Times New Roman"/>
                <w:sz w:val="18"/>
              </w:rPr>
            </w:pPr>
          </w:p>
        </w:tc>
        <w:tc>
          <w:tcPr>
            <w:tcW w:w="547" w:type="dxa"/>
          </w:tcPr>
          <w:p>
            <w:pPr>
              <w:pStyle w:val="TableParagraph"/>
              <w:spacing w:line="233" w:lineRule="exact"/>
              <w:ind w:left="175" w:right="23"/>
              <w:jc w:val="center"/>
              <w:rPr>
                <w:rFonts w:ascii="Bookman Old Style"/>
                <w:b w:val="0"/>
                <w:sz w:val="20"/>
              </w:rPr>
            </w:pPr>
            <w:r>
              <w:rPr>
                <w:rFonts w:ascii="Bookman Old Style"/>
                <w:b w:val="0"/>
                <w:w w:val="60"/>
                <w:sz w:val="20"/>
              </w:rPr>
              <w:t>3000</w:t>
            </w:r>
          </w:p>
        </w:tc>
        <w:tc>
          <w:tcPr>
            <w:tcW w:w="608" w:type="dxa"/>
          </w:tcPr>
          <w:p>
            <w:pPr>
              <w:pStyle w:val="TableParagraph"/>
              <w:rPr>
                <w:rFonts w:ascii="Times New Roman"/>
                <w:sz w:val="18"/>
              </w:rPr>
            </w:pPr>
          </w:p>
        </w:tc>
        <w:tc>
          <w:tcPr>
            <w:tcW w:w="622" w:type="dxa"/>
          </w:tcPr>
          <w:p>
            <w:pPr>
              <w:pStyle w:val="TableParagraph"/>
              <w:rPr>
                <w:rFonts w:ascii="Times New Roman"/>
                <w:sz w:val="18"/>
              </w:rPr>
            </w:pPr>
          </w:p>
        </w:tc>
        <w:tc>
          <w:tcPr>
            <w:tcW w:w="442" w:type="dxa"/>
          </w:tcPr>
          <w:p>
            <w:pPr>
              <w:pStyle w:val="TableParagraph"/>
              <w:rPr>
                <w:rFonts w:ascii="Times New Roman"/>
                <w:sz w:val="18"/>
              </w:rPr>
            </w:pPr>
          </w:p>
        </w:tc>
        <w:tc>
          <w:tcPr>
            <w:tcW w:w="471" w:type="dxa"/>
          </w:tcPr>
          <w:p>
            <w:pPr>
              <w:pStyle w:val="TableParagraph"/>
              <w:spacing w:line="233" w:lineRule="exact"/>
              <w:ind w:left="97" w:right="24"/>
              <w:jc w:val="center"/>
              <w:rPr>
                <w:rFonts w:ascii="Bookman Old Style"/>
                <w:b w:val="0"/>
                <w:sz w:val="20"/>
              </w:rPr>
            </w:pPr>
            <w:r>
              <w:rPr>
                <w:rFonts w:ascii="Bookman Old Style"/>
                <w:b w:val="0"/>
                <w:w w:val="60"/>
                <w:sz w:val="20"/>
              </w:rPr>
              <w:t>3000</w:t>
            </w:r>
          </w:p>
        </w:tc>
        <w:tc>
          <w:tcPr>
            <w:tcW w:w="620" w:type="dxa"/>
          </w:tcPr>
          <w:p>
            <w:pPr>
              <w:pStyle w:val="TableParagraph"/>
              <w:rPr>
                <w:rFonts w:ascii="Times New Roman"/>
                <w:sz w:val="18"/>
              </w:rPr>
            </w:pPr>
          </w:p>
        </w:tc>
        <w:tc>
          <w:tcPr>
            <w:tcW w:w="598" w:type="dxa"/>
          </w:tcPr>
          <w:p>
            <w:pPr>
              <w:pStyle w:val="TableParagraph"/>
              <w:rPr>
                <w:rFonts w:ascii="Times New Roman"/>
                <w:sz w:val="18"/>
              </w:rPr>
            </w:pPr>
          </w:p>
        </w:tc>
        <w:tc>
          <w:tcPr>
            <w:tcW w:w="510" w:type="dxa"/>
          </w:tcPr>
          <w:p>
            <w:pPr>
              <w:pStyle w:val="TableParagraph"/>
              <w:rPr>
                <w:rFonts w:ascii="Times New Roman"/>
                <w:sz w:val="18"/>
              </w:rPr>
            </w:pPr>
          </w:p>
        </w:tc>
        <w:tc>
          <w:tcPr>
            <w:tcW w:w="512" w:type="dxa"/>
          </w:tcPr>
          <w:p>
            <w:pPr>
              <w:pStyle w:val="TableParagraph"/>
              <w:spacing w:line="233" w:lineRule="exact"/>
              <w:ind w:left="136" w:right="28"/>
              <w:jc w:val="center"/>
              <w:rPr>
                <w:rFonts w:ascii="Bookman Old Style"/>
                <w:b w:val="0"/>
                <w:sz w:val="20"/>
              </w:rPr>
            </w:pPr>
            <w:r>
              <w:rPr>
                <w:rFonts w:ascii="Bookman Old Style"/>
                <w:b w:val="0"/>
                <w:w w:val="60"/>
                <w:sz w:val="20"/>
              </w:rPr>
              <w:t>3000</w:t>
            </w:r>
          </w:p>
        </w:tc>
        <w:tc>
          <w:tcPr>
            <w:tcW w:w="608" w:type="dxa"/>
          </w:tcPr>
          <w:p>
            <w:pPr>
              <w:pStyle w:val="TableParagraph"/>
              <w:rPr>
                <w:rFonts w:ascii="Times New Roman"/>
                <w:sz w:val="18"/>
              </w:rPr>
            </w:pPr>
          </w:p>
        </w:tc>
        <w:tc>
          <w:tcPr>
            <w:tcW w:w="613" w:type="dxa"/>
          </w:tcPr>
          <w:p>
            <w:pPr>
              <w:pStyle w:val="TableParagraph"/>
              <w:rPr>
                <w:rFonts w:ascii="Times New Roman"/>
                <w:sz w:val="18"/>
              </w:rPr>
            </w:pPr>
          </w:p>
        </w:tc>
        <w:tc>
          <w:tcPr>
            <w:tcW w:w="491" w:type="dxa"/>
          </w:tcPr>
          <w:p>
            <w:pPr>
              <w:pStyle w:val="TableParagraph"/>
              <w:rPr>
                <w:rFonts w:ascii="Times New Roman"/>
                <w:sz w:val="18"/>
              </w:rPr>
            </w:pPr>
          </w:p>
        </w:tc>
        <w:tc>
          <w:tcPr>
            <w:tcW w:w="513" w:type="dxa"/>
          </w:tcPr>
          <w:p>
            <w:pPr>
              <w:pStyle w:val="TableParagraph"/>
              <w:spacing w:line="233" w:lineRule="exact"/>
              <w:ind w:right="68"/>
              <w:jc w:val="right"/>
              <w:rPr>
                <w:rFonts w:ascii="Bookman Old Style"/>
                <w:b w:val="0"/>
                <w:sz w:val="20"/>
              </w:rPr>
            </w:pPr>
            <w:r>
              <w:rPr>
                <w:rFonts w:ascii="Bookman Old Style"/>
                <w:b w:val="0"/>
                <w:w w:val="50"/>
                <w:sz w:val="20"/>
              </w:rPr>
              <w:t>3000</w:t>
            </w:r>
          </w:p>
        </w:tc>
        <w:tc>
          <w:tcPr>
            <w:tcW w:w="607" w:type="dxa"/>
          </w:tcPr>
          <w:p>
            <w:pPr>
              <w:pStyle w:val="TableParagraph"/>
              <w:rPr>
                <w:rFonts w:ascii="Times New Roman"/>
                <w:sz w:val="18"/>
              </w:rPr>
            </w:pPr>
          </w:p>
        </w:tc>
        <w:tc>
          <w:tcPr>
            <w:tcW w:w="587" w:type="dxa"/>
          </w:tcPr>
          <w:p>
            <w:pPr>
              <w:pStyle w:val="TableParagraph"/>
              <w:rPr>
                <w:rFonts w:ascii="Times New Roman"/>
                <w:sz w:val="18"/>
              </w:rPr>
            </w:pPr>
          </w:p>
        </w:tc>
        <w:tc>
          <w:tcPr>
            <w:tcW w:w="513" w:type="dxa"/>
          </w:tcPr>
          <w:p>
            <w:pPr>
              <w:pStyle w:val="TableParagraph"/>
              <w:rPr>
                <w:rFonts w:ascii="Times New Roman"/>
                <w:sz w:val="18"/>
              </w:rPr>
            </w:pPr>
          </w:p>
        </w:tc>
        <w:tc>
          <w:tcPr>
            <w:tcW w:w="491" w:type="dxa"/>
          </w:tcPr>
          <w:p>
            <w:pPr>
              <w:pStyle w:val="TableParagraph"/>
              <w:spacing w:line="233" w:lineRule="exact"/>
              <w:ind w:right="74"/>
              <w:jc w:val="right"/>
              <w:rPr>
                <w:rFonts w:ascii="Bookman Old Style"/>
                <w:b w:val="0"/>
                <w:sz w:val="20"/>
              </w:rPr>
            </w:pPr>
            <w:r>
              <w:rPr>
                <w:rFonts w:ascii="Bookman Old Style"/>
                <w:b w:val="0"/>
                <w:w w:val="50"/>
                <w:sz w:val="20"/>
              </w:rPr>
              <w:t>3000</w:t>
            </w:r>
          </w:p>
        </w:tc>
        <w:tc>
          <w:tcPr>
            <w:tcW w:w="606" w:type="dxa"/>
          </w:tcPr>
          <w:p>
            <w:pPr>
              <w:pStyle w:val="TableParagraph"/>
              <w:rPr>
                <w:rFonts w:ascii="Times New Roman"/>
                <w:sz w:val="18"/>
              </w:rPr>
            </w:pPr>
          </w:p>
        </w:tc>
        <w:tc>
          <w:tcPr>
            <w:tcW w:w="657" w:type="dxa"/>
          </w:tcPr>
          <w:p>
            <w:pPr>
              <w:pStyle w:val="TableParagraph"/>
              <w:rPr>
                <w:rFonts w:ascii="Times New Roman"/>
                <w:sz w:val="18"/>
              </w:rPr>
            </w:pPr>
          </w:p>
        </w:tc>
        <w:tc>
          <w:tcPr>
            <w:tcW w:w="1014" w:type="dxa"/>
          </w:tcPr>
          <w:p>
            <w:pPr>
              <w:pStyle w:val="TableParagraph"/>
              <w:spacing w:before="5"/>
              <w:ind w:right="78"/>
              <w:jc w:val="right"/>
              <w:rPr>
                <w:rFonts w:ascii="Times New Roman"/>
                <w:b/>
                <w:sz w:val="20"/>
              </w:rPr>
            </w:pPr>
            <w:r>
              <w:rPr>
                <w:rFonts w:ascii="Times New Roman"/>
                <w:b/>
                <w:w w:val="65"/>
                <w:sz w:val="20"/>
              </w:rPr>
              <w:t>15000</w:t>
            </w:r>
          </w:p>
        </w:tc>
      </w:tr>
      <w:tr>
        <w:trPr>
          <w:trHeight w:val="523" w:hRule="atLeast"/>
        </w:trPr>
        <w:tc>
          <w:tcPr>
            <w:tcW w:w="1049" w:type="dxa"/>
            <w:vMerge/>
            <w:tcBorders>
              <w:top w:val="nil"/>
            </w:tcBorders>
          </w:tcPr>
          <w:p>
            <w:pPr>
              <w:rPr>
                <w:sz w:val="2"/>
                <w:szCs w:val="2"/>
              </w:rPr>
            </w:pPr>
          </w:p>
        </w:tc>
        <w:tc>
          <w:tcPr>
            <w:tcW w:w="972" w:type="dxa"/>
            <w:shd w:val="clear" w:color="auto" w:fill="FBE3D5"/>
          </w:tcPr>
          <w:p>
            <w:pPr>
              <w:pStyle w:val="TableParagraph"/>
              <w:spacing w:line="209" w:lineRule="exact"/>
              <w:ind w:left="53" w:right="46"/>
              <w:jc w:val="center"/>
              <w:rPr>
                <w:rFonts w:ascii="Bookman Old Style"/>
                <w:b w:val="0"/>
                <w:sz w:val="18"/>
              </w:rPr>
            </w:pPr>
            <w:r>
              <w:rPr>
                <w:rFonts w:ascii="Bookman Old Style"/>
                <w:b w:val="0"/>
                <w:w w:val="65"/>
                <w:sz w:val="18"/>
              </w:rPr>
              <w:t>30</w:t>
            </w:r>
          </w:p>
        </w:tc>
        <w:tc>
          <w:tcPr>
            <w:tcW w:w="511" w:type="dxa"/>
          </w:tcPr>
          <w:p>
            <w:pPr>
              <w:pStyle w:val="TableParagraph"/>
              <w:rPr>
                <w:rFonts w:ascii="Times New Roman"/>
                <w:sz w:val="18"/>
              </w:rPr>
            </w:pPr>
          </w:p>
        </w:tc>
        <w:tc>
          <w:tcPr>
            <w:tcW w:w="547" w:type="dxa"/>
          </w:tcPr>
          <w:p>
            <w:pPr>
              <w:pStyle w:val="TableParagraph"/>
              <w:spacing w:line="233" w:lineRule="exact"/>
              <w:ind w:left="108" w:right="23"/>
              <w:jc w:val="center"/>
              <w:rPr>
                <w:rFonts w:ascii="Bookman Old Style"/>
                <w:b w:val="0"/>
                <w:sz w:val="20"/>
              </w:rPr>
            </w:pPr>
            <w:r>
              <w:rPr>
                <w:rFonts w:ascii="Bookman Old Style"/>
                <w:b w:val="0"/>
                <w:w w:val="55"/>
                <w:sz w:val="20"/>
              </w:rPr>
              <w:t>15000</w:t>
            </w:r>
          </w:p>
        </w:tc>
        <w:tc>
          <w:tcPr>
            <w:tcW w:w="608" w:type="dxa"/>
          </w:tcPr>
          <w:p>
            <w:pPr>
              <w:pStyle w:val="TableParagraph"/>
              <w:spacing w:line="233" w:lineRule="exact"/>
              <w:ind w:right="59"/>
              <w:jc w:val="right"/>
              <w:rPr>
                <w:rFonts w:ascii="Bookman Old Style"/>
                <w:b w:val="0"/>
                <w:sz w:val="20"/>
              </w:rPr>
            </w:pPr>
            <w:r>
              <w:rPr>
                <w:rFonts w:ascii="Bookman Old Style"/>
                <w:b w:val="0"/>
                <w:w w:val="50"/>
                <w:sz w:val="20"/>
              </w:rPr>
              <w:t>5000</w:t>
            </w:r>
          </w:p>
        </w:tc>
        <w:tc>
          <w:tcPr>
            <w:tcW w:w="622" w:type="dxa"/>
          </w:tcPr>
          <w:p>
            <w:pPr>
              <w:pStyle w:val="TableParagraph"/>
              <w:spacing w:line="233" w:lineRule="exact"/>
              <w:ind w:right="59"/>
              <w:jc w:val="right"/>
              <w:rPr>
                <w:rFonts w:ascii="Bookman Old Style"/>
                <w:b w:val="0"/>
                <w:sz w:val="20"/>
              </w:rPr>
            </w:pPr>
            <w:r>
              <w:rPr>
                <w:rFonts w:ascii="Bookman Old Style"/>
                <w:b w:val="0"/>
                <w:w w:val="50"/>
                <w:sz w:val="20"/>
              </w:rPr>
              <w:t>15000</w:t>
            </w:r>
          </w:p>
        </w:tc>
        <w:tc>
          <w:tcPr>
            <w:tcW w:w="442" w:type="dxa"/>
          </w:tcPr>
          <w:p>
            <w:pPr>
              <w:pStyle w:val="TableParagraph"/>
              <w:spacing w:line="233" w:lineRule="exact"/>
              <w:ind w:left="67" w:right="27"/>
              <w:jc w:val="center"/>
              <w:rPr>
                <w:rFonts w:ascii="Bookman Old Style"/>
                <w:b w:val="0"/>
                <w:sz w:val="20"/>
              </w:rPr>
            </w:pPr>
            <w:r>
              <w:rPr>
                <w:rFonts w:ascii="Bookman Old Style"/>
                <w:b w:val="0"/>
                <w:w w:val="60"/>
                <w:sz w:val="20"/>
              </w:rPr>
              <w:t>3000</w:t>
            </w:r>
          </w:p>
        </w:tc>
        <w:tc>
          <w:tcPr>
            <w:tcW w:w="471" w:type="dxa"/>
          </w:tcPr>
          <w:p>
            <w:pPr>
              <w:pStyle w:val="TableParagraph"/>
              <w:spacing w:line="233" w:lineRule="exact"/>
              <w:ind w:left="31" w:right="25"/>
              <w:jc w:val="center"/>
              <w:rPr>
                <w:rFonts w:ascii="Bookman Old Style"/>
                <w:b w:val="0"/>
                <w:sz w:val="20"/>
              </w:rPr>
            </w:pPr>
            <w:r>
              <w:rPr>
                <w:rFonts w:ascii="Bookman Old Style"/>
                <w:b w:val="0"/>
                <w:w w:val="55"/>
                <w:sz w:val="20"/>
              </w:rPr>
              <w:t>15000</w:t>
            </w:r>
          </w:p>
        </w:tc>
        <w:tc>
          <w:tcPr>
            <w:tcW w:w="620" w:type="dxa"/>
          </w:tcPr>
          <w:p>
            <w:pPr>
              <w:pStyle w:val="TableParagraph"/>
              <w:spacing w:line="233" w:lineRule="exact"/>
              <w:ind w:right="61"/>
              <w:jc w:val="right"/>
              <w:rPr>
                <w:rFonts w:ascii="Bookman Old Style"/>
                <w:b w:val="0"/>
                <w:sz w:val="20"/>
              </w:rPr>
            </w:pPr>
            <w:r>
              <w:rPr>
                <w:rFonts w:ascii="Bookman Old Style"/>
                <w:b w:val="0"/>
                <w:w w:val="50"/>
                <w:sz w:val="20"/>
              </w:rPr>
              <w:t>5000</w:t>
            </w:r>
          </w:p>
        </w:tc>
        <w:tc>
          <w:tcPr>
            <w:tcW w:w="598" w:type="dxa"/>
          </w:tcPr>
          <w:p>
            <w:pPr>
              <w:pStyle w:val="TableParagraph"/>
              <w:spacing w:line="233" w:lineRule="exact"/>
              <w:ind w:right="64"/>
              <w:jc w:val="right"/>
              <w:rPr>
                <w:rFonts w:ascii="Bookman Old Style"/>
                <w:b w:val="0"/>
                <w:sz w:val="20"/>
              </w:rPr>
            </w:pPr>
            <w:r>
              <w:rPr>
                <w:rFonts w:ascii="Bookman Old Style"/>
                <w:b w:val="0"/>
                <w:w w:val="50"/>
                <w:sz w:val="20"/>
              </w:rPr>
              <w:t>15000</w:t>
            </w:r>
          </w:p>
        </w:tc>
        <w:tc>
          <w:tcPr>
            <w:tcW w:w="510" w:type="dxa"/>
          </w:tcPr>
          <w:p>
            <w:pPr>
              <w:pStyle w:val="TableParagraph"/>
              <w:spacing w:line="233" w:lineRule="exact"/>
              <w:ind w:left="173"/>
              <w:rPr>
                <w:rFonts w:ascii="Bookman Old Style"/>
                <w:b w:val="0"/>
                <w:sz w:val="20"/>
              </w:rPr>
            </w:pPr>
            <w:r>
              <w:rPr>
                <w:rFonts w:ascii="Bookman Old Style"/>
                <w:b w:val="0"/>
                <w:w w:val="60"/>
                <w:sz w:val="20"/>
              </w:rPr>
              <w:t>3000</w:t>
            </w:r>
          </w:p>
        </w:tc>
        <w:tc>
          <w:tcPr>
            <w:tcW w:w="512" w:type="dxa"/>
          </w:tcPr>
          <w:p>
            <w:pPr>
              <w:pStyle w:val="TableParagraph"/>
              <w:spacing w:line="233" w:lineRule="exact"/>
              <w:ind w:left="69" w:right="28"/>
              <w:jc w:val="center"/>
              <w:rPr>
                <w:rFonts w:ascii="Bookman Old Style"/>
                <w:b w:val="0"/>
                <w:sz w:val="20"/>
              </w:rPr>
            </w:pPr>
            <w:r>
              <w:rPr>
                <w:rFonts w:ascii="Bookman Old Style"/>
                <w:b w:val="0"/>
                <w:w w:val="55"/>
                <w:sz w:val="20"/>
              </w:rPr>
              <w:t>15000</w:t>
            </w:r>
          </w:p>
        </w:tc>
        <w:tc>
          <w:tcPr>
            <w:tcW w:w="608" w:type="dxa"/>
          </w:tcPr>
          <w:p>
            <w:pPr>
              <w:pStyle w:val="TableParagraph"/>
              <w:spacing w:line="233" w:lineRule="exact"/>
              <w:ind w:right="64"/>
              <w:jc w:val="right"/>
              <w:rPr>
                <w:rFonts w:ascii="Bookman Old Style"/>
                <w:b w:val="0"/>
                <w:sz w:val="20"/>
              </w:rPr>
            </w:pPr>
            <w:r>
              <w:rPr>
                <w:rFonts w:ascii="Bookman Old Style"/>
                <w:b w:val="0"/>
                <w:w w:val="50"/>
                <w:sz w:val="20"/>
              </w:rPr>
              <w:t>5000</w:t>
            </w:r>
          </w:p>
        </w:tc>
        <w:tc>
          <w:tcPr>
            <w:tcW w:w="613" w:type="dxa"/>
          </w:tcPr>
          <w:p>
            <w:pPr>
              <w:pStyle w:val="TableParagraph"/>
              <w:rPr>
                <w:rFonts w:ascii="Times New Roman"/>
                <w:sz w:val="18"/>
              </w:rPr>
            </w:pPr>
          </w:p>
        </w:tc>
        <w:tc>
          <w:tcPr>
            <w:tcW w:w="491" w:type="dxa"/>
          </w:tcPr>
          <w:p>
            <w:pPr>
              <w:pStyle w:val="TableParagraph"/>
              <w:spacing w:line="233" w:lineRule="exact"/>
              <w:ind w:left="150"/>
              <w:rPr>
                <w:rFonts w:ascii="Bookman Old Style"/>
                <w:b w:val="0"/>
                <w:sz w:val="20"/>
              </w:rPr>
            </w:pPr>
            <w:r>
              <w:rPr>
                <w:rFonts w:ascii="Bookman Old Style"/>
                <w:b w:val="0"/>
                <w:w w:val="60"/>
                <w:sz w:val="20"/>
              </w:rPr>
              <w:t>3000</w:t>
            </w:r>
          </w:p>
        </w:tc>
        <w:tc>
          <w:tcPr>
            <w:tcW w:w="513" w:type="dxa"/>
          </w:tcPr>
          <w:p>
            <w:pPr>
              <w:pStyle w:val="TableParagraph"/>
              <w:spacing w:line="233" w:lineRule="exact"/>
              <w:ind w:right="68"/>
              <w:jc w:val="right"/>
              <w:rPr>
                <w:rFonts w:ascii="Bookman Old Style"/>
                <w:b w:val="0"/>
                <w:sz w:val="20"/>
              </w:rPr>
            </w:pPr>
            <w:r>
              <w:rPr>
                <w:rFonts w:ascii="Bookman Old Style"/>
                <w:b w:val="0"/>
                <w:w w:val="50"/>
                <w:sz w:val="20"/>
              </w:rPr>
              <w:t>15000</w:t>
            </w:r>
          </w:p>
        </w:tc>
        <w:tc>
          <w:tcPr>
            <w:tcW w:w="607" w:type="dxa"/>
          </w:tcPr>
          <w:p>
            <w:pPr>
              <w:pStyle w:val="TableParagraph"/>
              <w:spacing w:line="233" w:lineRule="exact"/>
              <w:ind w:right="72"/>
              <w:jc w:val="right"/>
              <w:rPr>
                <w:rFonts w:ascii="Bookman Old Style"/>
                <w:b w:val="0"/>
                <w:sz w:val="20"/>
              </w:rPr>
            </w:pPr>
            <w:r>
              <w:rPr>
                <w:rFonts w:ascii="Bookman Old Style"/>
                <w:b w:val="0"/>
                <w:w w:val="50"/>
                <w:sz w:val="20"/>
              </w:rPr>
              <w:t>5000</w:t>
            </w:r>
          </w:p>
        </w:tc>
        <w:tc>
          <w:tcPr>
            <w:tcW w:w="587" w:type="dxa"/>
          </w:tcPr>
          <w:p>
            <w:pPr>
              <w:pStyle w:val="TableParagraph"/>
              <w:rPr>
                <w:rFonts w:ascii="Times New Roman"/>
                <w:sz w:val="18"/>
              </w:rPr>
            </w:pPr>
          </w:p>
        </w:tc>
        <w:tc>
          <w:tcPr>
            <w:tcW w:w="513" w:type="dxa"/>
          </w:tcPr>
          <w:p>
            <w:pPr>
              <w:pStyle w:val="TableParagraph"/>
              <w:spacing w:line="233" w:lineRule="exact"/>
              <w:ind w:right="73"/>
              <w:jc w:val="right"/>
              <w:rPr>
                <w:rFonts w:ascii="Bookman Old Style"/>
                <w:b w:val="0"/>
                <w:sz w:val="20"/>
              </w:rPr>
            </w:pPr>
            <w:r>
              <w:rPr>
                <w:rFonts w:ascii="Bookman Old Style"/>
                <w:b w:val="0"/>
                <w:w w:val="50"/>
                <w:sz w:val="20"/>
              </w:rPr>
              <w:t>3000</w:t>
            </w:r>
          </w:p>
        </w:tc>
        <w:tc>
          <w:tcPr>
            <w:tcW w:w="491" w:type="dxa"/>
          </w:tcPr>
          <w:p>
            <w:pPr>
              <w:pStyle w:val="TableParagraph"/>
              <w:spacing w:line="233" w:lineRule="exact"/>
              <w:ind w:right="74"/>
              <w:jc w:val="right"/>
              <w:rPr>
                <w:rFonts w:ascii="Bookman Old Style"/>
                <w:b w:val="0"/>
                <w:sz w:val="20"/>
              </w:rPr>
            </w:pPr>
            <w:r>
              <w:rPr>
                <w:rFonts w:ascii="Bookman Old Style"/>
                <w:b w:val="0"/>
                <w:w w:val="50"/>
                <w:sz w:val="20"/>
              </w:rPr>
              <w:t>15000</w:t>
            </w:r>
          </w:p>
        </w:tc>
        <w:tc>
          <w:tcPr>
            <w:tcW w:w="606" w:type="dxa"/>
          </w:tcPr>
          <w:p>
            <w:pPr>
              <w:pStyle w:val="TableParagraph"/>
              <w:spacing w:line="233" w:lineRule="exact"/>
              <w:ind w:right="78"/>
              <w:jc w:val="right"/>
              <w:rPr>
                <w:rFonts w:ascii="Bookman Old Style"/>
                <w:b w:val="0"/>
                <w:sz w:val="20"/>
              </w:rPr>
            </w:pPr>
            <w:r>
              <w:rPr>
                <w:rFonts w:ascii="Bookman Old Style"/>
                <w:b w:val="0"/>
                <w:w w:val="50"/>
                <w:sz w:val="20"/>
              </w:rPr>
              <w:t>5000</w:t>
            </w:r>
          </w:p>
        </w:tc>
        <w:tc>
          <w:tcPr>
            <w:tcW w:w="657" w:type="dxa"/>
          </w:tcPr>
          <w:p>
            <w:pPr>
              <w:pStyle w:val="TableParagraph"/>
              <w:rPr>
                <w:rFonts w:ascii="Times New Roman"/>
                <w:sz w:val="18"/>
              </w:rPr>
            </w:pPr>
          </w:p>
        </w:tc>
        <w:tc>
          <w:tcPr>
            <w:tcW w:w="1014" w:type="dxa"/>
          </w:tcPr>
          <w:p>
            <w:pPr>
              <w:pStyle w:val="TableParagraph"/>
              <w:spacing w:before="5"/>
              <w:ind w:right="78"/>
              <w:jc w:val="right"/>
              <w:rPr>
                <w:rFonts w:ascii="Times New Roman"/>
                <w:b/>
                <w:sz w:val="20"/>
              </w:rPr>
            </w:pPr>
            <w:r>
              <w:rPr>
                <w:rFonts w:ascii="Times New Roman"/>
                <w:b/>
                <w:w w:val="65"/>
                <w:sz w:val="20"/>
              </w:rPr>
              <w:t>142000</w:t>
            </w:r>
          </w:p>
        </w:tc>
      </w:tr>
      <w:tr>
        <w:trPr>
          <w:trHeight w:val="496" w:hRule="atLeast"/>
        </w:trPr>
        <w:tc>
          <w:tcPr>
            <w:tcW w:w="1049" w:type="dxa"/>
            <w:vMerge w:val="restart"/>
          </w:tcPr>
          <w:p>
            <w:pPr>
              <w:pStyle w:val="TableParagraph"/>
              <w:ind w:left="69"/>
              <w:rPr>
                <w:rFonts w:ascii="Bookman Old Style"/>
                <w:b w:val="0"/>
                <w:sz w:val="18"/>
              </w:rPr>
            </w:pPr>
            <w:r>
              <w:rPr>
                <w:rFonts w:ascii="Bookman Old Style"/>
                <w:b w:val="0"/>
                <w:w w:val="65"/>
                <w:sz w:val="18"/>
              </w:rPr>
              <w:t>R.9</w:t>
            </w:r>
          </w:p>
        </w:tc>
        <w:tc>
          <w:tcPr>
            <w:tcW w:w="972" w:type="dxa"/>
            <w:shd w:val="clear" w:color="auto" w:fill="FBE3D5"/>
          </w:tcPr>
          <w:p>
            <w:pPr>
              <w:pStyle w:val="TableParagraph"/>
              <w:ind w:left="53" w:right="46"/>
              <w:jc w:val="center"/>
              <w:rPr>
                <w:rFonts w:ascii="Bookman Old Style"/>
                <w:b w:val="0"/>
                <w:sz w:val="18"/>
              </w:rPr>
            </w:pPr>
            <w:r>
              <w:rPr>
                <w:rFonts w:ascii="Bookman Old Style"/>
                <w:b w:val="0"/>
                <w:w w:val="65"/>
                <w:sz w:val="18"/>
              </w:rPr>
              <w:t>31</w:t>
            </w:r>
          </w:p>
        </w:tc>
        <w:tc>
          <w:tcPr>
            <w:tcW w:w="511" w:type="dxa"/>
          </w:tcPr>
          <w:p>
            <w:pPr>
              <w:pStyle w:val="TableParagraph"/>
              <w:spacing w:before="1"/>
              <w:ind w:left="177"/>
              <w:rPr>
                <w:rFonts w:ascii="Bookman Old Style"/>
                <w:b w:val="0"/>
                <w:sz w:val="20"/>
              </w:rPr>
            </w:pPr>
            <w:r>
              <w:rPr>
                <w:rFonts w:ascii="Bookman Old Style"/>
                <w:b w:val="0"/>
                <w:w w:val="60"/>
                <w:sz w:val="20"/>
              </w:rPr>
              <w:t>5000</w:t>
            </w:r>
          </w:p>
        </w:tc>
        <w:tc>
          <w:tcPr>
            <w:tcW w:w="547" w:type="dxa"/>
          </w:tcPr>
          <w:p>
            <w:pPr>
              <w:pStyle w:val="TableParagraph"/>
              <w:spacing w:before="1"/>
              <w:ind w:left="175" w:right="23"/>
              <w:jc w:val="center"/>
              <w:rPr>
                <w:rFonts w:ascii="Bookman Old Style"/>
                <w:b w:val="0"/>
                <w:sz w:val="20"/>
              </w:rPr>
            </w:pPr>
            <w:r>
              <w:rPr>
                <w:rFonts w:ascii="Bookman Old Style"/>
                <w:b w:val="0"/>
                <w:w w:val="60"/>
                <w:sz w:val="20"/>
              </w:rPr>
              <w:t>5000</w:t>
            </w:r>
          </w:p>
        </w:tc>
        <w:tc>
          <w:tcPr>
            <w:tcW w:w="608" w:type="dxa"/>
          </w:tcPr>
          <w:p>
            <w:pPr>
              <w:pStyle w:val="TableParagraph"/>
              <w:spacing w:before="1"/>
              <w:ind w:right="59"/>
              <w:jc w:val="right"/>
              <w:rPr>
                <w:rFonts w:ascii="Bookman Old Style"/>
                <w:b w:val="0"/>
                <w:sz w:val="20"/>
              </w:rPr>
            </w:pPr>
            <w:r>
              <w:rPr>
                <w:rFonts w:ascii="Bookman Old Style"/>
                <w:b w:val="0"/>
                <w:w w:val="50"/>
                <w:sz w:val="20"/>
              </w:rPr>
              <w:t>5000</w:t>
            </w:r>
          </w:p>
        </w:tc>
        <w:tc>
          <w:tcPr>
            <w:tcW w:w="622" w:type="dxa"/>
          </w:tcPr>
          <w:p>
            <w:pPr>
              <w:pStyle w:val="TableParagraph"/>
              <w:spacing w:before="1"/>
              <w:ind w:right="59"/>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42" w:type="dxa"/>
          </w:tcPr>
          <w:p>
            <w:pPr>
              <w:pStyle w:val="TableParagraph"/>
              <w:spacing w:before="1"/>
              <w:ind w:left="67" w:right="27"/>
              <w:jc w:val="center"/>
              <w:rPr>
                <w:rFonts w:ascii="Bookman Old Style"/>
                <w:b w:val="0"/>
                <w:sz w:val="20"/>
              </w:rPr>
            </w:pPr>
            <w:r>
              <w:rPr>
                <w:rFonts w:ascii="Bookman Old Style"/>
                <w:b w:val="0"/>
                <w:w w:val="60"/>
                <w:sz w:val="20"/>
              </w:rPr>
              <w:t>5000</w:t>
            </w:r>
          </w:p>
        </w:tc>
        <w:tc>
          <w:tcPr>
            <w:tcW w:w="471" w:type="dxa"/>
          </w:tcPr>
          <w:p>
            <w:pPr>
              <w:pStyle w:val="TableParagraph"/>
              <w:spacing w:before="1"/>
              <w:ind w:left="97" w:right="24"/>
              <w:jc w:val="center"/>
              <w:rPr>
                <w:rFonts w:ascii="Bookman Old Style"/>
                <w:b w:val="0"/>
                <w:sz w:val="20"/>
              </w:rPr>
            </w:pPr>
            <w:r>
              <w:rPr>
                <w:rFonts w:ascii="Bookman Old Style"/>
                <w:b w:val="0"/>
                <w:w w:val="60"/>
                <w:sz w:val="20"/>
              </w:rPr>
              <w:t>5000</w:t>
            </w:r>
          </w:p>
        </w:tc>
        <w:tc>
          <w:tcPr>
            <w:tcW w:w="620" w:type="dxa"/>
          </w:tcPr>
          <w:p>
            <w:pPr>
              <w:pStyle w:val="TableParagraph"/>
              <w:spacing w:before="1"/>
              <w:ind w:right="61"/>
              <w:jc w:val="right"/>
              <w:rPr>
                <w:rFonts w:ascii="Bookman Old Style"/>
                <w:b w:val="0"/>
                <w:sz w:val="20"/>
              </w:rPr>
            </w:pPr>
            <w:r>
              <w:rPr>
                <w:rFonts w:ascii="Bookman Old Style"/>
                <w:b w:val="0"/>
                <w:w w:val="50"/>
                <w:sz w:val="20"/>
              </w:rPr>
              <w:t>5000</w:t>
            </w:r>
          </w:p>
        </w:tc>
        <w:tc>
          <w:tcPr>
            <w:tcW w:w="598" w:type="dxa"/>
          </w:tcPr>
          <w:p>
            <w:pPr>
              <w:pStyle w:val="TableParagraph"/>
              <w:spacing w:before="1"/>
              <w:ind w:right="64"/>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10" w:type="dxa"/>
          </w:tcPr>
          <w:p>
            <w:pPr>
              <w:pStyle w:val="TableParagraph"/>
              <w:spacing w:before="1"/>
              <w:ind w:left="173"/>
              <w:rPr>
                <w:rFonts w:ascii="Bookman Old Style"/>
                <w:b w:val="0"/>
                <w:sz w:val="20"/>
              </w:rPr>
            </w:pPr>
            <w:r>
              <w:rPr>
                <w:rFonts w:ascii="Bookman Old Style"/>
                <w:b w:val="0"/>
                <w:w w:val="60"/>
                <w:sz w:val="20"/>
              </w:rPr>
              <w:t>5000</w:t>
            </w:r>
          </w:p>
        </w:tc>
        <w:tc>
          <w:tcPr>
            <w:tcW w:w="512" w:type="dxa"/>
          </w:tcPr>
          <w:p>
            <w:pPr>
              <w:pStyle w:val="TableParagraph"/>
              <w:spacing w:before="1"/>
              <w:ind w:left="136" w:right="28"/>
              <w:jc w:val="center"/>
              <w:rPr>
                <w:rFonts w:ascii="Bookman Old Style"/>
                <w:b w:val="0"/>
                <w:sz w:val="20"/>
              </w:rPr>
            </w:pPr>
            <w:r>
              <w:rPr>
                <w:rFonts w:ascii="Bookman Old Style"/>
                <w:b w:val="0"/>
                <w:w w:val="60"/>
                <w:sz w:val="20"/>
              </w:rPr>
              <w:t>5000</w:t>
            </w:r>
          </w:p>
        </w:tc>
        <w:tc>
          <w:tcPr>
            <w:tcW w:w="608" w:type="dxa"/>
          </w:tcPr>
          <w:p>
            <w:pPr>
              <w:pStyle w:val="TableParagraph"/>
              <w:spacing w:before="1"/>
              <w:ind w:right="64"/>
              <w:jc w:val="right"/>
              <w:rPr>
                <w:rFonts w:ascii="Bookman Old Style"/>
                <w:b w:val="0"/>
                <w:sz w:val="20"/>
              </w:rPr>
            </w:pPr>
            <w:r>
              <w:rPr>
                <w:rFonts w:ascii="Bookman Old Style"/>
                <w:b w:val="0"/>
                <w:w w:val="50"/>
                <w:sz w:val="20"/>
              </w:rPr>
              <w:t>5000</w:t>
            </w:r>
          </w:p>
        </w:tc>
        <w:tc>
          <w:tcPr>
            <w:tcW w:w="613" w:type="dxa"/>
          </w:tcPr>
          <w:p>
            <w:pPr>
              <w:pStyle w:val="TableParagraph"/>
              <w:spacing w:before="1"/>
              <w:ind w:right="67"/>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91" w:type="dxa"/>
          </w:tcPr>
          <w:p>
            <w:pPr>
              <w:pStyle w:val="TableParagraph"/>
              <w:spacing w:before="1"/>
              <w:ind w:left="150"/>
              <w:rPr>
                <w:rFonts w:ascii="Bookman Old Style"/>
                <w:b w:val="0"/>
                <w:sz w:val="20"/>
              </w:rPr>
            </w:pPr>
            <w:r>
              <w:rPr>
                <w:rFonts w:ascii="Bookman Old Style"/>
                <w:b w:val="0"/>
                <w:w w:val="60"/>
                <w:sz w:val="20"/>
              </w:rPr>
              <w:t>5000</w:t>
            </w:r>
          </w:p>
        </w:tc>
        <w:tc>
          <w:tcPr>
            <w:tcW w:w="513" w:type="dxa"/>
          </w:tcPr>
          <w:p>
            <w:pPr>
              <w:pStyle w:val="TableParagraph"/>
              <w:spacing w:before="1"/>
              <w:ind w:right="68"/>
              <w:jc w:val="right"/>
              <w:rPr>
                <w:rFonts w:ascii="Bookman Old Style"/>
                <w:b w:val="0"/>
                <w:sz w:val="20"/>
              </w:rPr>
            </w:pPr>
            <w:r>
              <w:rPr>
                <w:rFonts w:ascii="Bookman Old Style"/>
                <w:b w:val="0"/>
                <w:w w:val="50"/>
                <w:sz w:val="20"/>
              </w:rPr>
              <w:t>5000</w:t>
            </w:r>
          </w:p>
        </w:tc>
        <w:tc>
          <w:tcPr>
            <w:tcW w:w="607" w:type="dxa"/>
          </w:tcPr>
          <w:p>
            <w:pPr>
              <w:pStyle w:val="TableParagraph"/>
              <w:spacing w:before="1"/>
              <w:ind w:right="72"/>
              <w:jc w:val="right"/>
              <w:rPr>
                <w:rFonts w:ascii="Bookman Old Style"/>
                <w:b w:val="0"/>
                <w:sz w:val="20"/>
              </w:rPr>
            </w:pPr>
            <w:r>
              <w:rPr>
                <w:rFonts w:ascii="Bookman Old Style"/>
                <w:b w:val="0"/>
                <w:w w:val="50"/>
                <w:sz w:val="20"/>
              </w:rPr>
              <w:t>5000</w:t>
            </w:r>
          </w:p>
        </w:tc>
        <w:tc>
          <w:tcPr>
            <w:tcW w:w="587" w:type="dxa"/>
          </w:tcPr>
          <w:p>
            <w:pPr>
              <w:pStyle w:val="TableParagraph"/>
              <w:spacing w:before="1"/>
              <w:ind w:right="71"/>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13" w:type="dxa"/>
          </w:tcPr>
          <w:p>
            <w:pPr>
              <w:pStyle w:val="TableParagraph"/>
              <w:spacing w:before="1"/>
              <w:ind w:right="73"/>
              <w:jc w:val="right"/>
              <w:rPr>
                <w:rFonts w:ascii="Bookman Old Style"/>
                <w:b w:val="0"/>
                <w:sz w:val="20"/>
              </w:rPr>
            </w:pPr>
            <w:r>
              <w:rPr>
                <w:rFonts w:ascii="Bookman Old Style"/>
                <w:b w:val="0"/>
                <w:w w:val="50"/>
                <w:sz w:val="20"/>
              </w:rPr>
              <w:t>5000</w:t>
            </w:r>
          </w:p>
        </w:tc>
        <w:tc>
          <w:tcPr>
            <w:tcW w:w="491" w:type="dxa"/>
          </w:tcPr>
          <w:p>
            <w:pPr>
              <w:pStyle w:val="TableParagraph"/>
              <w:spacing w:before="1"/>
              <w:ind w:right="74"/>
              <w:jc w:val="right"/>
              <w:rPr>
                <w:rFonts w:ascii="Bookman Old Style"/>
                <w:b w:val="0"/>
                <w:sz w:val="20"/>
              </w:rPr>
            </w:pPr>
            <w:r>
              <w:rPr>
                <w:rFonts w:ascii="Bookman Old Style"/>
                <w:b w:val="0"/>
                <w:w w:val="50"/>
                <w:sz w:val="20"/>
              </w:rPr>
              <w:t>5000</w:t>
            </w:r>
          </w:p>
        </w:tc>
        <w:tc>
          <w:tcPr>
            <w:tcW w:w="606" w:type="dxa"/>
          </w:tcPr>
          <w:p>
            <w:pPr>
              <w:pStyle w:val="TableParagraph"/>
              <w:spacing w:before="1"/>
              <w:ind w:right="78"/>
              <w:jc w:val="right"/>
              <w:rPr>
                <w:rFonts w:ascii="Bookman Old Style"/>
                <w:b w:val="0"/>
                <w:sz w:val="20"/>
              </w:rPr>
            </w:pPr>
            <w:r>
              <w:rPr>
                <w:rFonts w:ascii="Bookman Old Style"/>
                <w:b w:val="0"/>
                <w:w w:val="50"/>
                <w:sz w:val="20"/>
              </w:rPr>
              <w:t>5000</w:t>
            </w:r>
          </w:p>
        </w:tc>
        <w:tc>
          <w:tcPr>
            <w:tcW w:w="657" w:type="dxa"/>
          </w:tcPr>
          <w:p>
            <w:pPr>
              <w:pStyle w:val="TableParagraph"/>
              <w:spacing w:before="1"/>
              <w:ind w:right="77"/>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1014" w:type="dxa"/>
          </w:tcPr>
          <w:p>
            <w:pPr>
              <w:pStyle w:val="TableParagraph"/>
              <w:spacing w:before="7"/>
              <w:ind w:right="78"/>
              <w:jc w:val="right"/>
              <w:rPr>
                <w:rFonts w:ascii="Times New Roman"/>
                <w:b/>
                <w:sz w:val="20"/>
              </w:rPr>
            </w:pPr>
            <w:r>
              <w:rPr>
                <w:rFonts w:ascii="Times New Roman"/>
                <w:b/>
                <w:w w:val="65"/>
                <w:sz w:val="20"/>
              </w:rPr>
              <w:t>115000</w:t>
            </w:r>
          </w:p>
        </w:tc>
      </w:tr>
      <w:tr>
        <w:trPr>
          <w:trHeight w:val="299" w:hRule="atLeast"/>
        </w:trPr>
        <w:tc>
          <w:tcPr>
            <w:tcW w:w="1049" w:type="dxa"/>
            <w:vMerge/>
            <w:tcBorders>
              <w:top w:val="nil"/>
            </w:tcBorders>
          </w:tcPr>
          <w:p>
            <w:pPr>
              <w:rPr>
                <w:sz w:val="2"/>
                <w:szCs w:val="2"/>
              </w:rPr>
            </w:pPr>
          </w:p>
        </w:tc>
        <w:tc>
          <w:tcPr>
            <w:tcW w:w="972" w:type="dxa"/>
            <w:shd w:val="clear" w:color="auto" w:fill="FBE3D5"/>
          </w:tcPr>
          <w:p>
            <w:pPr>
              <w:pStyle w:val="TableParagraph"/>
              <w:spacing w:line="209" w:lineRule="exact"/>
              <w:ind w:left="53" w:right="46"/>
              <w:jc w:val="center"/>
              <w:rPr>
                <w:rFonts w:ascii="Bookman Old Style"/>
                <w:b w:val="0"/>
                <w:sz w:val="18"/>
              </w:rPr>
            </w:pPr>
            <w:r>
              <w:rPr>
                <w:rFonts w:ascii="Bookman Old Style"/>
                <w:b w:val="0"/>
                <w:w w:val="65"/>
                <w:sz w:val="18"/>
              </w:rPr>
              <w:t>32</w:t>
            </w:r>
          </w:p>
        </w:tc>
        <w:tc>
          <w:tcPr>
            <w:tcW w:w="511" w:type="dxa"/>
          </w:tcPr>
          <w:p>
            <w:pPr>
              <w:pStyle w:val="TableParagraph"/>
              <w:spacing w:line="233" w:lineRule="exact"/>
              <w:ind w:left="177"/>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47" w:type="dxa"/>
          </w:tcPr>
          <w:p>
            <w:pPr>
              <w:pStyle w:val="TableParagraph"/>
              <w:spacing w:line="233" w:lineRule="exact"/>
              <w:ind w:left="175" w:right="23"/>
              <w:jc w:val="center"/>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08" w:type="dxa"/>
          </w:tcPr>
          <w:p>
            <w:pPr>
              <w:pStyle w:val="TableParagraph"/>
              <w:spacing w:line="233" w:lineRule="exact"/>
              <w:ind w:right="59"/>
              <w:jc w:val="right"/>
              <w:rPr>
                <w:rFonts w:ascii="Bookman Old Style"/>
                <w:b w:val="0"/>
                <w:sz w:val="20"/>
              </w:rPr>
            </w:pPr>
            <w:r>
              <w:rPr>
                <w:rFonts w:ascii="Bookman Old Style"/>
                <w:b w:val="0"/>
                <w:w w:val="50"/>
                <w:sz w:val="20"/>
              </w:rPr>
              <w:t>3000</w:t>
            </w:r>
          </w:p>
        </w:tc>
        <w:tc>
          <w:tcPr>
            <w:tcW w:w="622" w:type="dxa"/>
          </w:tcPr>
          <w:p>
            <w:pPr>
              <w:pStyle w:val="TableParagraph"/>
              <w:spacing w:line="233" w:lineRule="exact"/>
              <w:ind w:right="59"/>
              <w:jc w:val="right"/>
              <w:rPr>
                <w:rFonts w:ascii="Bookman Old Style"/>
                <w:b w:val="0"/>
                <w:sz w:val="20"/>
              </w:rPr>
            </w:pPr>
            <w:r>
              <w:rPr>
                <w:rFonts w:ascii="Bookman Old Style"/>
                <w:b w:val="0"/>
                <w:w w:val="50"/>
                <w:sz w:val="20"/>
              </w:rPr>
              <w:t>20000</w:t>
            </w:r>
          </w:p>
        </w:tc>
        <w:tc>
          <w:tcPr>
            <w:tcW w:w="442" w:type="dxa"/>
          </w:tcPr>
          <w:p>
            <w:pPr>
              <w:pStyle w:val="TableParagraph"/>
              <w:spacing w:line="233" w:lineRule="exact"/>
              <w:ind w:left="67" w:right="27"/>
              <w:jc w:val="center"/>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71" w:type="dxa"/>
          </w:tcPr>
          <w:p>
            <w:pPr>
              <w:pStyle w:val="TableParagraph"/>
              <w:spacing w:line="233" w:lineRule="exact"/>
              <w:ind w:left="97" w:right="24"/>
              <w:jc w:val="center"/>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20" w:type="dxa"/>
          </w:tcPr>
          <w:p>
            <w:pPr>
              <w:pStyle w:val="TableParagraph"/>
              <w:spacing w:line="233" w:lineRule="exact"/>
              <w:ind w:right="61"/>
              <w:jc w:val="right"/>
              <w:rPr>
                <w:rFonts w:ascii="Bookman Old Style"/>
                <w:b w:val="0"/>
                <w:sz w:val="20"/>
              </w:rPr>
            </w:pPr>
            <w:r>
              <w:rPr>
                <w:rFonts w:ascii="Bookman Old Style"/>
                <w:b w:val="0"/>
                <w:w w:val="50"/>
                <w:sz w:val="20"/>
              </w:rPr>
              <w:t>3000</w:t>
            </w:r>
          </w:p>
        </w:tc>
        <w:tc>
          <w:tcPr>
            <w:tcW w:w="598" w:type="dxa"/>
          </w:tcPr>
          <w:p>
            <w:pPr>
              <w:pStyle w:val="TableParagraph"/>
              <w:spacing w:line="233" w:lineRule="exact"/>
              <w:ind w:right="64"/>
              <w:jc w:val="right"/>
              <w:rPr>
                <w:rFonts w:ascii="Bookman Old Style"/>
                <w:b w:val="0"/>
                <w:sz w:val="20"/>
              </w:rPr>
            </w:pPr>
            <w:r>
              <w:rPr>
                <w:rFonts w:ascii="Bookman Old Style"/>
                <w:b w:val="0"/>
                <w:w w:val="50"/>
                <w:sz w:val="20"/>
              </w:rPr>
              <w:t>20000</w:t>
            </w:r>
          </w:p>
        </w:tc>
        <w:tc>
          <w:tcPr>
            <w:tcW w:w="510" w:type="dxa"/>
          </w:tcPr>
          <w:p>
            <w:pPr>
              <w:pStyle w:val="TableParagraph"/>
              <w:spacing w:line="233" w:lineRule="exact"/>
              <w:ind w:left="173"/>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12" w:type="dxa"/>
          </w:tcPr>
          <w:p>
            <w:pPr>
              <w:pStyle w:val="TableParagraph"/>
              <w:spacing w:line="233" w:lineRule="exact"/>
              <w:ind w:left="136" w:right="28"/>
              <w:jc w:val="center"/>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08" w:type="dxa"/>
          </w:tcPr>
          <w:p>
            <w:pPr>
              <w:pStyle w:val="TableParagraph"/>
              <w:spacing w:line="233" w:lineRule="exact"/>
              <w:ind w:right="64"/>
              <w:jc w:val="right"/>
              <w:rPr>
                <w:rFonts w:ascii="Bookman Old Style"/>
                <w:b w:val="0"/>
                <w:sz w:val="20"/>
              </w:rPr>
            </w:pPr>
            <w:r>
              <w:rPr>
                <w:rFonts w:ascii="Bookman Old Style"/>
                <w:b w:val="0"/>
                <w:w w:val="50"/>
                <w:sz w:val="20"/>
              </w:rPr>
              <w:t>3000</w:t>
            </w:r>
          </w:p>
        </w:tc>
        <w:tc>
          <w:tcPr>
            <w:tcW w:w="613" w:type="dxa"/>
          </w:tcPr>
          <w:p>
            <w:pPr>
              <w:pStyle w:val="TableParagraph"/>
              <w:spacing w:line="233" w:lineRule="exact"/>
              <w:ind w:right="67"/>
              <w:jc w:val="right"/>
              <w:rPr>
                <w:rFonts w:ascii="Bookman Old Style"/>
                <w:b w:val="0"/>
                <w:sz w:val="20"/>
              </w:rPr>
            </w:pPr>
            <w:r>
              <w:rPr>
                <w:rFonts w:ascii="Bookman Old Style"/>
                <w:b w:val="0"/>
                <w:w w:val="50"/>
                <w:sz w:val="20"/>
              </w:rPr>
              <w:t>25000</w:t>
            </w:r>
          </w:p>
        </w:tc>
        <w:tc>
          <w:tcPr>
            <w:tcW w:w="491" w:type="dxa"/>
          </w:tcPr>
          <w:p>
            <w:pPr>
              <w:pStyle w:val="TableParagraph"/>
              <w:spacing w:line="233" w:lineRule="exact"/>
              <w:ind w:left="150"/>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13" w:type="dxa"/>
          </w:tcPr>
          <w:p>
            <w:pPr>
              <w:pStyle w:val="TableParagraph"/>
              <w:spacing w:line="233" w:lineRule="exact"/>
              <w:ind w:right="68"/>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07" w:type="dxa"/>
          </w:tcPr>
          <w:p>
            <w:pPr>
              <w:pStyle w:val="TableParagraph"/>
              <w:spacing w:line="233" w:lineRule="exact"/>
              <w:ind w:right="72"/>
              <w:jc w:val="right"/>
              <w:rPr>
                <w:rFonts w:ascii="Bookman Old Style"/>
                <w:b w:val="0"/>
                <w:sz w:val="20"/>
              </w:rPr>
            </w:pPr>
            <w:r>
              <w:rPr>
                <w:rFonts w:ascii="Bookman Old Style"/>
                <w:b w:val="0"/>
                <w:w w:val="50"/>
                <w:sz w:val="20"/>
              </w:rPr>
              <w:t>3000</w:t>
            </w:r>
          </w:p>
        </w:tc>
        <w:tc>
          <w:tcPr>
            <w:tcW w:w="587" w:type="dxa"/>
          </w:tcPr>
          <w:p>
            <w:pPr>
              <w:pStyle w:val="TableParagraph"/>
              <w:spacing w:line="233" w:lineRule="exact"/>
              <w:ind w:right="71"/>
              <w:jc w:val="right"/>
              <w:rPr>
                <w:rFonts w:ascii="Bookman Old Style"/>
                <w:b w:val="0"/>
                <w:sz w:val="20"/>
              </w:rPr>
            </w:pPr>
            <w:r>
              <w:rPr>
                <w:rFonts w:ascii="Bookman Old Style"/>
                <w:b w:val="0"/>
                <w:w w:val="50"/>
                <w:sz w:val="20"/>
              </w:rPr>
              <w:t>20000</w:t>
            </w:r>
          </w:p>
        </w:tc>
        <w:tc>
          <w:tcPr>
            <w:tcW w:w="513" w:type="dxa"/>
          </w:tcPr>
          <w:p>
            <w:pPr>
              <w:pStyle w:val="TableParagraph"/>
              <w:spacing w:line="233" w:lineRule="exact"/>
              <w:ind w:right="73"/>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91" w:type="dxa"/>
          </w:tcPr>
          <w:p>
            <w:pPr>
              <w:pStyle w:val="TableParagraph"/>
              <w:spacing w:line="233" w:lineRule="exact"/>
              <w:ind w:right="74"/>
              <w:jc w:val="right"/>
              <w:rPr>
                <w:rFonts w:ascii="Bookman Old Style"/>
                <w:b w:val="0"/>
                <w:sz w:val="20"/>
              </w:rPr>
            </w:pPr>
            <w:r>
              <w:rPr>
                <w:rFonts w:ascii="Bookman Old Style"/>
                <w:b w:val="0"/>
                <w:smallCaps/>
                <w:spacing w:val="-2"/>
                <w:w w:val="53"/>
                <w:sz w:val="20"/>
              </w:rPr>
              <w:t>8</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06" w:type="dxa"/>
          </w:tcPr>
          <w:p>
            <w:pPr>
              <w:pStyle w:val="TableParagraph"/>
              <w:spacing w:line="233" w:lineRule="exact"/>
              <w:ind w:right="78"/>
              <w:jc w:val="right"/>
              <w:rPr>
                <w:rFonts w:ascii="Bookman Old Style"/>
                <w:b w:val="0"/>
                <w:sz w:val="20"/>
              </w:rPr>
            </w:pPr>
            <w:r>
              <w:rPr>
                <w:rFonts w:ascii="Bookman Old Style"/>
                <w:b w:val="0"/>
                <w:w w:val="50"/>
                <w:sz w:val="20"/>
              </w:rPr>
              <w:t>3000</w:t>
            </w:r>
          </w:p>
        </w:tc>
        <w:tc>
          <w:tcPr>
            <w:tcW w:w="657" w:type="dxa"/>
          </w:tcPr>
          <w:p>
            <w:pPr>
              <w:pStyle w:val="TableParagraph"/>
              <w:spacing w:line="233" w:lineRule="exact"/>
              <w:ind w:right="77"/>
              <w:jc w:val="right"/>
              <w:rPr>
                <w:rFonts w:ascii="Bookman Old Style"/>
                <w:b w:val="0"/>
                <w:sz w:val="20"/>
              </w:rPr>
            </w:pPr>
            <w:r>
              <w:rPr>
                <w:rFonts w:ascii="Bookman Old Style"/>
                <w:b w:val="0"/>
                <w:w w:val="50"/>
                <w:sz w:val="20"/>
              </w:rPr>
              <w:t>20000</w:t>
            </w:r>
          </w:p>
        </w:tc>
        <w:tc>
          <w:tcPr>
            <w:tcW w:w="1014" w:type="dxa"/>
          </w:tcPr>
          <w:p>
            <w:pPr>
              <w:pStyle w:val="TableParagraph"/>
              <w:spacing w:before="5"/>
              <w:ind w:right="78"/>
              <w:jc w:val="right"/>
              <w:rPr>
                <w:rFonts w:ascii="Times New Roman"/>
                <w:b/>
                <w:sz w:val="20"/>
              </w:rPr>
            </w:pPr>
            <w:r>
              <w:rPr>
                <w:rFonts w:ascii="Times New Roman"/>
                <w:b/>
                <w:w w:val="65"/>
                <w:sz w:val="20"/>
              </w:rPr>
              <w:t>200000</w:t>
            </w:r>
          </w:p>
        </w:tc>
      </w:tr>
      <w:tr>
        <w:trPr>
          <w:trHeight w:val="585" w:hRule="atLeast"/>
        </w:trPr>
        <w:tc>
          <w:tcPr>
            <w:tcW w:w="1049" w:type="dxa"/>
            <w:vMerge w:val="restart"/>
          </w:tcPr>
          <w:p>
            <w:pPr>
              <w:pStyle w:val="TableParagraph"/>
              <w:spacing w:line="209" w:lineRule="exact"/>
              <w:ind w:left="69"/>
              <w:rPr>
                <w:rFonts w:ascii="Bookman Old Style"/>
                <w:b w:val="0"/>
                <w:sz w:val="18"/>
              </w:rPr>
            </w:pPr>
            <w:r>
              <w:rPr>
                <w:rFonts w:ascii="Bookman Old Style"/>
                <w:b w:val="0"/>
                <w:w w:val="65"/>
                <w:sz w:val="18"/>
              </w:rPr>
              <w:t>R.10</w:t>
            </w:r>
          </w:p>
        </w:tc>
        <w:tc>
          <w:tcPr>
            <w:tcW w:w="972" w:type="dxa"/>
            <w:shd w:val="clear" w:color="auto" w:fill="FBE3D5"/>
          </w:tcPr>
          <w:p>
            <w:pPr>
              <w:pStyle w:val="TableParagraph"/>
              <w:spacing w:line="209" w:lineRule="exact"/>
              <w:ind w:left="53" w:right="46"/>
              <w:jc w:val="center"/>
              <w:rPr>
                <w:rFonts w:ascii="Bookman Old Style"/>
                <w:b w:val="0"/>
                <w:sz w:val="18"/>
              </w:rPr>
            </w:pPr>
            <w:r>
              <w:rPr>
                <w:rFonts w:ascii="Bookman Old Style"/>
                <w:b w:val="0"/>
                <w:w w:val="65"/>
                <w:sz w:val="18"/>
              </w:rPr>
              <w:t>33</w:t>
            </w:r>
          </w:p>
        </w:tc>
        <w:tc>
          <w:tcPr>
            <w:tcW w:w="511" w:type="dxa"/>
          </w:tcPr>
          <w:p>
            <w:pPr>
              <w:pStyle w:val="TableParagraph"/>
              <w:rPr>
                <w:rFonts w:ascii="Times New Roman"/>
                <w:sz w:val="18"/>
              </w:rPr>
            </w:pPr>
          </w:p>
        </w:tc>
        <w:tc>
          <w:tcPr>
            <w:tcW w:w="547" w:type="dxa"/>
          </w:tcPr>
          <w:p>
            <w:pPr>
              <w:pStyle w:val="TableParagraph"/>
              <w:rPr>
                <w:rFonts w:ascii="Times New Roman"/>
                <w:sz w:val="18"/>
              </w:rPr>
            </w:pPr>
          </w:p>
        </w:tc>
        <w:tc>
          <w:tcPr>
            <w:tcW w:w="608" w:type="dxa"/>
          </w:tcPr>
          <w:p>
            <w:pPr>
              <w:pStyle w:val="TableParagraph"/>
              <w:spacing w:line="233" w:lineRule="exact"/>
              <w:ind w:right="60"/>
              <w:jc w:val="right"/>
              <w:rPr>
                <w:rFonts w:ascii="Bookman Old Style"/>
                <w:b w:val="0"/>
                <w:sz w:val="20"/>
              </w:rPr>
            </w:pPr>
            <w:r>
              <w:rPr>
                <w:rFonts w:ascii="Bookman Old Style"/>
                <w:b w:val="0"/>
                <w:w w:val="50"/>
                <w:sz w:val="20"/>
              </w:rPr>
              <w:t>5000000</w:t>
            </w:r>
          </w:p>
        </w:tc>
        <w:tc>
          <w:tcPr>
            <w:tcW w:w="622" w:type="dxa"/>
          </w:tcPr>
          <w:p>
            <w:pPr>
              <w:pStyle w:val="TableParagraph"/>
              <w:rPr>
                <w:rFonts w:ascii="Times New Roman"/>
                <w:sz w:val="18"/>
              </w:rPr>
            </w:pPr>
          </w:p>
        </w:tc>
        <w:tc>
          <w:tcPr>
            <w:tcW w:w="442" w:type="dxa"/>
          </w:tcPr>
          <w:p>
            <w:pPr>
              <w:pStyle w:val="TableParagraph"/>
              <w:rPr>
                <w:rFonts w:ascii="Times New Roman"/>
                <w:sz w:val="18"/>
              </w:rPr>
            </w:pPr>
          </w:p>
        </w:tc>
        <w:tc>
          <w:tcPr>
            <w:tcW w:w="471" w:type="dxa"/>
          </w:tcPr>
          <w:p>
            <w:pPr>
              <w:pStyle w:val="TableParagraph"/>
              <w:rPr>
                <w:rFonts w:ascii="Times New Roman"/>
                <w:sz w:val="18"/>
              </w:rPr>
            </w:pPr>
          </w:p>
        </w:tc>
        <w:tc>
          <w:tcPr>
            <w:tcW w:w="620" w:type="dxa"/>
          </w:tcPr>
          <w:p>
            <w:pPr>
              <w:pStyle w:val="TableParagraph"/>
              <w:spacing w:line="233" w:lineRule="exact"/>
              <w:ind w:right="62"/>
              <w:jc w:val="right"/>
              <w:rPr>
                <w:rFonts w:ascii="Bookman Old Style"/>
                <w:b w:val="0"/>
                <w:sz w:val="20"/>
              </w:rPr>
            </w:pPr>
            <w:r>
              <w:rPr>
                <w:rFonts w:ascii="Bookman Old Style"/>
                <w:b w:val="0"/>
                <w:w w:val="50"/>
                <w:sz w:val="20"/>
              </w:rPr>
              <w:t>5000000</w:t>
            </w:r>
          </w:p>
        </w:tc>
        <w:tc>
          <w:tcPr>
            <w:tcW w:w="598" w:type="dxa"/>
          </w:tcPr>
          <w:p>
            <w:pPr>
              <w:pStyle w:val="TableParagraph"/>
              <w:rPr>
                <w:rFonts w:ascii="Times New Roman"/>
                <w:sz w:val="18"/>
              </w:rPr>
            </w:pPr>
          </w:p>
        </w:tc>
        <w:tc>
          <w:tcPr>
            <w:tcW w:w="510" w:type="dxa"/>
          </w:tcPr>
          <w:p>
            <w:pPr>
              <w:pStyle w:val="TableParagraph"/>
              <w:rPr>
                <w:rFonts w:ascii="Times New Roman"/>
                <w:sz w:val="18"/>
              </w:rPr>
            </w:pPr>
          </w:p>
        </w:tc>
        <w:tc>
          <w:tcPr>
            <w:tcW w:w="512" w:type="dxa"/>
          </w:tcPr>
          <w:p>
            <w:pPr>
              <w:pStyle w:val="TableParagraph"/>
              <w:rPr>
                <w:rFonts w:ascii="Times New Roman"/>
                <w:sz w:val="18"/>
              </w:rPr>
            </w:pPr>
          </w:p>
        </w:tc>
        <w:tc>
          <w:tcPr>
            <w:tcW w:w="608" w:type="dxa"/>
          </w:tcPr>
          <w:p>
            <w:pPr>
              <w:pStyle w:val="TableParagraph"/>
              <w:spacing w:line="233" w:lineRule="exact"/>
              <w:ind w:right="64"/>
              <w:jc w:val="right"/>
              <w:rPr>
                <w:rFonts w:ascii="Bookman Old Style"/>
                <w:b w:val="0"/>
                <w:sz w:val="20"/>
              </w:rPr>
            </w:pPr>
            <w:r>
              <w:rPr>
                <w:rFonts w:ascii="Bookman Old Style"/>
                <w:b w:val="0"/>
                <w:w w:val="50"/>
                <w:sz w:val="20"/>
              </w:rPr>
              <w:t>5000000</w:t>
            </w:r>
          </w:p>
        </w:tc>
        <w:tc>
          <w:tcPr>
            <w:tcW w:w="613" w:type="dxa"/>
          </w:tcPr>
          <w:p>
            <w:pPr>
              <w:pStyle w:val="TableParagraph"/>
              <w:rPr>
                <w:rFonts w:ascii="Times New Roman"/>
                <w:sz w:val="18"/>
              </w:rPr>
            </w:pPr>
          </w:p>
        </w:tc>
        <w:tc>
          <w:tcPr>
            <w:tcW w:w="491" w:type="dxa"/>
          </w:tcPr>
          <w:p>
            <w:pPr>
              <w:pStyle w:val="TableParagraph"/>
              <w:rPr>
                <w:rFonts w:ascii="Times New Roman"/>
                <w:sz w:val="18"/>
              </w:rPr>
            </w:pPr>
          </w:p>
        </w:tc>
        <w:tc>
          <w:tcPr>
            <w:tcW w:w="513" w:type="dxa"/>
          </w:tcPr>
          <w:p>
            <w:pPr>
              <w:pStyle w:val="TableParagraph"/>
              <w:rPr>
                <w:rFonts w:ascii="Times New Roman"/>
                <w:sz w:val="18"/>
              </w:rPr>
            </w:pPr>
          </w:p>
        </w:tc>
        <w:tc>
          <w:tcPr>
            <w:tcW w:w="607" w:type="dxa"/>
          </w:tcPr>
          <w:p>
            <w:pPr>
              <w:pStyle w:val="TableParagraph"/>
              <w:spacing w:line="233" w:lineRule="exact"/>
              <w:ind w:right="73"/>
              <w:jc w:val="right"/>
              <w:rPr>
                <w:rFonts w:ascii="Bookman Old Style"/>
                <w:b w:val="0"/>
                <w:sz w:val="20"/>
              </w:rPr>
            </w:pPr>
            <w:r>
              <w:rPr>
                <w:rFonts w:ascii="Bookman Old Style"/>
                <w:b w:val="0"/>
                <w:w w:val="50"/>
                <w:sz w:val="20"/>
              </w:rPr>
              <w:t>5000000</w:t>
            </w:r>
          </w:p>
        </w:tc>
        <w:tc>
          <w:tcPr>
            <w:tcW w:w="587" w:type="dxa"/>
          </w:tcPr>
          <w:p>
            <w:pPr>
              <w:pStyle w:val="TableParagraph"/>
              <w:rPr>
                <w:rFonts w:ascii="Times New Roman"/>
                <w:sz w:val="18"/>
              </w:rPr>
            </w:pPr>
          </w:p>
        </w:tc>
        <w:tc>
          <w:tcPr>
            <w:tcW w:w="513" w:type="dxa"/>
          </w:tcPr>
          <w:p>
            <w:pPr>
              <w:pStyle w:val="TableParagraph"/>
              <w:rPr>
                <w:rFonts w:ascii="Times New Roman"/>
                <w:sz w:val="18"/>
              </w:rPr>
            </w:pPr>
          </w:p>
        </w:tc>
        <w:tc>
          <w:tcPr>
            <w:tcW w:w="491" w:type="dxa"/>
          </w:tcPr>
          <w:p>
            <w:pPr>
              <w:pStyle w:val="TableParagraph"/>
              <w:rPr>
                <w:rFonts w:ascii="Times New Roman"/>
                <w:sz w:val="18"/>
              </w:rPr>
            </w:pPr>
          </w:p>
        </w:tc>
        <w:tc>
          <w:tcPr>
            <w:tcW w:w="606" w:type="dxa"/>
          </w:tcPr>
          <w:p>
            <w:pPr>
              <w:pStyle w:val="TableParagraph"/>
              <w:spacing w:line="233" w:lineRule="exact"/>
              <w:ind w:right="78"/>
              <w:jc w:val="right"/>
              <w:rPr>
                <w:rFonts w:ascii="Bookman Old Style"/>
                <w:b w:val="0"/>
                <w:sz w:val="20"/>
              </w:rPr>
            </w:pPr>
            <w:r>
              <w:rPr>
                <w:rFonts w:ascii="Bookman Old Style"/>
                <w:b w:val="0"/>
                <w:w w:val="50"/>
                <w:sz w:val="20"/>
              </w:rPr>
              <w:t>5000000</w:t>
            </w:r>
          </w:p>
        </w:tc>
        <w:tc>
          <w:tcPr>
            <w:tcW w:w="657" w:type="dxa"/>
          </w:tcPr>
          <w:p>
            <w:pPr>
              <w:pStyle w:val="TableParagraph"/>
              <w:rPr>
                <w:rFonts w:ascii="Times New Roman"/>
                <w:sz w:val="18"/>
              </w:rPr>
            </w:pPr>
          </w:p>
        </w:tc>
        <w:tc>
          <w:tcPr>
            <w:tcW w:w="1014" w:type="dxa"/>
          </w:tcPr>
          <w:p>
            <w:pPr>
              <w:pStyle w:val="TableParagraph"/>
              <w:spacing w:before="5"/>
              <w:ind w:right="79"/>
              <w:jc w:val="right"/>
              <w:rPr>
                <w:rFonts w:ascii="Times New Roman"/>
                <w:b/>
                <w:sz w:val="20"/>
              </w:rPr>
            </w:pPr>
            <w:r>
              <w:rPr>
                <w:rFonts w:ascii="Times New Roman"/>
                <w:b/>
                <w:w w:val="65"/>
                <w:sz w:val="20"/>
              </w:rPr>
              <w:t>25000000</w:t>
            </w:r>
          </w:p>
        </w:tc>
      </w:tr>
      <w:tr>
        <w:trPr>
          <w:trHeight w:val="450" w:hRule="atLeast"/>
        </w:trPr>
        <w:tc>
          <w:tcPr>
            <w:tcW w:w="1049" w:type="dxa"/>
            <w:vMerge/>
            <w:tcBorders>
              <w:top w:val="nil"/>
            </w:tcBorders>
          </w:tcPr>
          <w:p>
            <w:pPr>
              <w:rPr>
                <w:sz w:val="2"/>
                <w:szCs w:val="2"/>
              </w:rPr>
            </w:pPr>
          </w:p>
        </w:tc>
        <w:tc>
          <w:tcPr>
            <w:tcW w:w="972" w:type="dxa"/>
            <w:shd w:val="clear" w:color="auto" w:fill="FBE3D5"/>
          </w:tcPr>
          <w:p>
            <w:pPr>
              <w:pStyle w:val="TableParagraph"/>
              <w:spacing w:line="209" w:lineRule="exact"/>
              <w:ind w:left="53" w:right="46"/>
              <w:jc w:val="center"/>
              <w:rPr>
                <w:rFonts w:ascii="Bookman Old Style"/>
                <w:b w:val="0"/>
                <w:sz w:val="18"/>
              </w:rPr>
            </w:pPr>
            <w:r>
              <w:rPr>
                <w:rFonts w:ascii="Bookman Old Style"/>
                <w:b w:val="0"/>
                <w:smallCaps/>
                <w:w w:val="53"/>
                <w:sz w:val="18"/>
              </w:rPr>
              <w:t>34</w:t>
            </w:r>
          </w:p>
        </w:tc>
        <w:tc>
          <w:tcPr>
            <w:tcW w:w="511" w:type="dxa"/>
          </w:tcPr>
          <w:p>
            <w:pPr>
              <w:pStyle w:val="TableParagraph"/>
              <w:rPr>
                <w:rFonts w:ascii="Times New Roman"/>
                <w:sz w:val="18"/>
              </w:rPr>
            </w:pPr>
          </w:p>
        </w:tc>
        <w:tc>
          <w:tcPr>
            <w:tcW w:w="547" w:type="dxa"/>
          </w:tcPr>
          <w:p>
            <w:pPr>
              <w:pStyle w:val="TableParagraph"/>
              <w:rPr>
                <w:rFonts w:ascii="Times New Roman"/>
                <w:sz w:val="18"/>
              </w:rPr>
            </w:pPr>
          </w:p>
        </w:tc>
        <w:tc>
          <w:tcPr>
            <w:tcW w:w="608" w:type="dxa"/>
          </w:tcPr>
          <w:p>
            <w:pPr>
              <w:pStyle w:val="TableParagraph"/>
              <w:spacing w:line="233" w:lineRule="exact"/>
              <w:ind w:right="60"/>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622" w:type="dxa"/>
          </w:tcPr>
          <w:p>
            <w:pPr>
              <w:pStyle w:val="TableParagraph"/>
              <w:rPr>
                <w:rFonts w:ascii="Times New Roman"/>
                <w:sz w:val="18"/>
              </w:rPr>
            </w:pPr>
          </w:p>
        </w:tc>
        <w:tc>
          <w:tcPr>
            <w:tcW w:w="442" w:type="dxa"/>
          </w:tcPr>
          <w:p>
            <w:pPr>
              <w:pStyle w:val="TableParagraph"/>
              <w:rPr>
                <w:rFonts w:ascii="Times New Roman"/>
                <w:sz w:val="18"/>
              </w:rPr>
            </w:pPr>
          </w:p>
        </w:tc>
        <w:tc>
          <w:tcPr>
            <w:tcW w:w="471" w:type="dxa"/>
          </w:tcPr>
          <w:p>
            <w:pPr>
              <w:pStyle w:val="TableParagraph"/>
              <w:rPr>
                <w:rFonts w:ascii="Times New Roman"/>
                <w:sz w:val="18"/>
              </w:rPr>
            </w:pPr>
          </w:p>
        </w:tc>
        <w:tc>
          <w:tcPr>
            <w:tcW w:w="620" w:type="dxa"/>
          </w:tcPr>
          <w:p>
            <w:pPr>
              <w:pStyle w:val="TableParagraph"/>
              <w:spacing w:line="233" w:lineRule="exact"/>
              <w:ind w:right="62"/>
              <w:jc w:val="right"/>
              <w:rPr>
                <w:rFonts w:ascii="Bookman Old Style"/>
                <w:b w:val="0"/>
                <w:sz w:val="20"/>
              </w:rPr>
            </w:pPr>
            <w:r>
              <w:rPr>
                <w:rFonts w:ascii="Bookman Old Style"/>
                <w:b w:val="0"/>
                <w:w w:val="50"/>
                <w:sz w:val="20"/>
              </w:rPr>
              <w:t>3000000</w:t>
            </w:r>
          </w:p>
        </w:tc>
        <w:tc>
          <w:tcPr>
            <w:tcW w:w="598" w:type="dxa"/>
          </w:tcPr>
          <w:p>
            <w:pPr>
              <w:pStyle w:val="TableParagraph"/>
              <w:rPr>
                <w:rFonts w:ascii="Times New Roman"/>
                <w:sz w:val="18"/>
              </w:rPr>
            </w:pPr>
          </w:p>
        </w:tc>
        <w:tc>
          <w:tcPr>
            <w:tcW w:w="510" w:type="dxa"/>
          </w:tcPr>
          <w:p>
            <w:pPr>
              <w:pStyle w:val="TableParagraph"/>
              <w:rPr>
                <w:rFonts w:ascii="Times New Roman"/>
                <w:sz w:val="18"/>
              </w:rPr>
            </w:pPr>
          </w:p>
        </w:tc>
        <w:tc>
          <w:tcPr>
            <w:tcW w:w="512" w:type="dxa"/>
          </w:tcPr>
          <w:p>
            <w:pPr>
              <w:pStyle w:val="TableParagraph"/>
              <w:rPr>
                <w:rFonts w:ascii="Times New Roman"/>
                <w:sz w:val="18"/>
              </w:rPr>
            </w:pPr>
          </w:p>
        </w:tc>
        <w:tc>
          <w:tcPr>
            <w:tcW w:w="608" w:type="dxa"/>
          </w:tcPr>
          <w:p>
            <w:pPr>
              <w:pStyle w:val="TableParagraph"/>
              <w:spacing w:line="233" w:lineRule="exact"/>
              <w:ind w:right="64"/>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spacing w:val="1"/>
                <w:w w:val="53"/>
                <w:sz w:val="20"/>
              </w:rPr>
              <w:t>0</w:t>
            </w:r>
            <w:r>
              <w:rPr>
                <w:rFonts w:ascii="Bookman Old Style"/>
                <w:b w:val="0"/>
                <w:smallCaps w:val="0"/>
                <w:w w:val="53"/>
                <w:sz w:val="20"/>
              </w:rPr>
              <w:t>0</w:t>
            </w:r>
          </w:p>
        </w:tc>
        <w:tc>
          <w:tcPr>
            <w:tcW w:w="613" w:type="dxa"/>
          </w:tcPr>
          <w:p>
            <w:pPr>
              <w:pStyle w:val="TableParagraph"/>
              <w:rPr>
                <w:rFonts w:ascii="Times New Roman"/>
                <w:sz w:val="18"/>
              </w:rPr>
            </w:pPr>
          </w:p>
        </w:tc>
        <w:tc>
          <w:tcPr>
            <w:tcW w:w="491" w:type="dxa"/>
          </w:tcPr>
          <w:p>
            <w:pPr>
              <w:pStyle w:val="TableParagraph"/>
              <w:rPr>
                <w:rFonts w:ascii="Times New Roman"/>
                <w:sz w:val="18"/>
              </w:rPr>
            </w:pPr>
          </w:p>
        </w:tc>
        <w:tc>
          <w:tcPr>
            <w:tcW w:w="513" w:type="dxa"/>
          </w:tcPr>
          <w:p>
            <w:pPr>
              <w:pStyle w:val="TableParagraph"/>
              <w:rPr>
                <w:rFonts w:ascii="Times New Roman"/>
                <w:sz w:val="18"/>
              </w:rPr>
            </w:pPr>
          </w:p>
        </w:tc>
        <w:tc>
          <w:tcPr>
            <w:tcW w:w="607" w:type="dxa"/>
          </w:tcPr>
          <w:p>
            <w:pPr>
              <w:pStyle w:val="TableParagraph"/>
              <w:spacing w:line="233" w:lineRule="exact"/>
              <w:ind w:right="73"/>
              <w:jc w:val="right"/>
              <w:rPr>
                <w:rFonts w:ascii="Bookman Old Style"/>
                <w:b w:val="0"/>
                <w:sz w:val="20"/>
              </w:rPr>
            </w:pPr>
            <w:r>
              <w:rPr>
                <w:rFonts w:ascii="Bookman Old Style"/>
                <w:b w:val="0"/>
                <w:w w:val="50"/>
                <w:sz w:val="20"/>
              </w:rPr>
              <w:t>3000000</w:t>
            </w:r>
          </w:p>
        </w:tc>
        <w:tc>
          <w:tcPr>
            <w:tcW w:w="587" w:type="dxa"/>
          </w:tcPr>
          <w:p>
            <w:pPr>
              <w:pStyle w:val="TableParagraph"/>
              <w:rPr>
                <w:rFonts w:ascii="Times New Roman"/>
                <w:sz w:val="18"/>
              </w:rPr>
            </w:pPr>
          </w:p>
        </w:tc>
        <w:tc>
          <w:tcPr>
            <w:tcW w:w="513" w:type="dxa"/>
          </w:tcPr>
          <w:p>
            <w:pPr>
              <w:pStyle w:val="TableParagraph"/>
              <w:rPr>
                <w:rFonts w:ascii="Times New Roman"/>
                <w:sz w:val="18"/>
              </w:rPr>
            </w:pPr>
          </w:p>
        </w:tc>
        <w:tc>
          <w:tcPr>
            <w:tcW w:w="491" w:type="dxa"/>
          </w:tcPr>
          <w:p>
            <w:pPr>
              <w:pStyle w:val="TableParagraph"/>
              <w:rPr>
                <w:rFonts w:ascii="Times New Roman"/>
                <w:sz w:val="18"/>
              </w:rPr>
            </w:pPr>
          </w:p>
        </w:tc>
        <w:tc>
          <w:tcPr>
            <w:tcW w:w="606" w:type="dxa"/>
          </w:tcPr>
          <w:p>
            <w:pPr>
              <w:pStyle w:val="TableParagraph"/>
              <w:spacing w:line="233" w:lineRule="exact"/>
              <w:ind w:right="78"/>
              <w:jc w:val="right"/>
              <w:rPr>
                <w:rFonts w:ascii="Bookman Old Style"/>
                <w:b w:val="0"/>
                <w:sz w:val="20"/>
              </w:rPr>
            </w:pPr>
            <w:r>
              <w:rPr>
                <w:rFonts w:ascii="Bookman Old Style"/>
                <w:b w:val="0"/>
                <w:w w:val="50"/>
                <w:sz w:val="20"/>
              </w:rPr>
              <w:t>2000000</w:t>
            </w:r>
          </w:p>
        </w:tc>
        <w:tc>
          <w:tcPr>
            <w:tcW w:w="657" w:type="dxa"/>
          </w:tcPr>
          <w:p>
            <w:pPr>
              <w:pStyle w:val="TableParagraph"/>
              <w:rPr>
                <w:rFonts w:ascii="Times New Roman"/>
                <w:sz w:val="18"/>
              </w:rPr>
            </w:pPr>
          </w:p>
        </w:tc>
        <w:tc>
          <w:tcPr>
            <w:tcW w:w="1014" w:type="dxa"/>
          </w:tcPr>
          <w:p>
            <w:pPr>
              <w:pStyle w:val="TableParagraph"/>
              <w:spacing w:before="5"/>
              <w:ind w:right="79"/>
              <w:jc w:val="right"/>
              <w:rPr>
                <w:rFonts w:ascii="Times New Roman"/>
                <w:b/>
                <w:sz w:val="20"/>
              </w:rPr>
            </w:pPr>
            <w:r>
              <w:rPr>
                <w:rFonts w:ascii="Times New Roman"/>
                <w:b/>
                <w:w w:val="65"/>
                <w:sz w:val="20"/>
              </w:rPr>
              <w:t>16000000</w:t>
            </w:r>
          </w:p>
        </w:tc>
      </w:tr>
      <w:tr>
        <w:trPr>
          <w:trHeight w:val="420" w:hRule="atLeast"/>
        </w:trPr>
        <w:tc>
          <w:tcPr>
            <w:tcW w:w="1049" w:type="dxa"/>
            <w:vMerge/>
            <w:tcBorders>
              <w:top w:val="nil"/>
            </w:tcBorders>
          </w:tcPr>
          <w:p>
            <w:pPr>
              <w:rPr>
                <w:sz w:val="2"/>
                <w:szCs w:val="2"/>
              </w:rPr>
            </w:pPr>
          </w:p>
        </w:tc>
        <w:tc>
          <w:tcPr>
            <w:tcW w:w="972" w:type="dxa"/>
            <w:shd w:val="clear" w:color="auto" w:fill="FBE3D5"/>
          </w:tcPr>
          <w:p>
            <w:pPr>
              <w:pStyle w:val="TableParagraph"/>
              <w:spacing w:line="209" w:lineRule="exact"/>
              <w:ind w:left="53" w:right="46"/>
              <w:jc w:val="center"/>
              <w:rPr>
                <w:rFonts w:ascii="Bookman Old Style"/>
                <w:b w:val="0"/>
                <w:sz w:val="18"/>
              </w:rPr>
            </w:pPr>
            <w:r>
              <w:rPr>
                <w:rFonts w:ascii="Bookman Old Style"/>
                <w:b w:val="0"/>
                <w:w w:val="65"/>
                <w:sz w:val="18"/>
              </w:rPr>
              <w:t>35</w:t>
            </w:r>
          </w:p>
        </w:tc>
        <w:tc>
          <w:tcPr>
            <w:tcW w:w="511" w:type="dxa"/>
          </w:tcPr>
          <w:p>
            <w:pPr>
              <w:pStyle w:val="TableParagraph"/>
              <w:rPr>
                <w:rFonts w:ascii="Times New Roman"/>
                <w:sz w:val="18"/>
              </w:rPr>
            </w:pPr>
          </w:p>
        </w:tc>
        <w:tc>
          <w:tcPr>
            <w:tcW w:w="547" w:type="dxa"/>
          </w:tcPr>
          <w:p>
            <w:pPr>
              <w:pStyle w:val="TableParagraph"/>
              <w:rPr>
                <w:rFonts w:ascii="Times New Roman"/>
                <w:sz w:val="18"/>
              </w:rPr>
            </w:pPr>
          </w:p>
        </w:tc>
        <w:tc>
          <w:tcPr>
            <w:tcW w:w="608" w:type="dxa"/>
          </w:tcPr>
          <w:p>
            <w:pPr>
              <w:pStyle w:val="TableParagraph"/>
              <w:spacing w:line="233" w:lineRule="exact"/>
              <w:ind w:right="60"/>
              <w:jc w:val="right"/>
              <w:rPr>
                <w:rFonts w:ascii="Bookman Old Style"/>
                <w:b w:val="0"/>
                <w:sz w:val="20"/>
              </w:rPr>
            </w:pPr>
            <w:r>
              <w:rPr>
                <w:rFonts w:ascii="Bookman Old Style"/>
                <w:b w:val="0"/>
                <w:w w:val="50"/>
                <w:sz w:val="20"/>
              </w:rPr>
              <w:t>1500000</w:t>
            </w:r>
          </w:p>
        </w:tc>
        <w:tc>
          <w:tcPr>
            <w:tcW w:w="622" w:type="dxa"/>
          </w:tcPr>
          <w:p>
            <w:pPr>
              <w:pStyle w:val="TableParagraph"/>
              <w:rPr>
                <w:rFonts w:ascii="Times New Roman"/>
                <w:sz w:val="18"/>
              </w:rPr>
            </w:pPr>
          </w:p>
        </w:tc>
        <w:tc>
          <w:tcPr>
            <w:tcW w:w="442" w:type="dxa"/>
          </w:tcPr>
          <w:p>
            <w:pPr>
              <w:pStyle w:val="TableParagraph"/>
              <w:rPr>
                <w:rFonts w:ascii="Times New Roman"/>
                <w:sz w:val="18"/>
              </w:rPr>
            </w:pPr>
          </w:p>
        </w:tc>
        <w:tc>
          <w:tcPr>
            <w:tcW w:w="471" w:type="dxa"/>
          </w:tcPr>
          <w:p>
            <w:pPr>
              <w:pStyle w:val="TableParagraph"/>
              <w:rPr>
                <w:rFonts w:ascii="Times New Roman"/>
                <w:sz w:val="18"/>
              </w:rPr>
            </w:pPr>
          </w:p>
        </w:tc>
        <w:tc>
          <w:tcPr>
            <w:tcW w:w="620" w:type="dxa"/>
          </w:tcPr>
          <w:p>
            <w:pPr>
              <w:pStyle w:val="TableParagraph"/>
              <w:spacing w:line="233" w:lineRule="exact"/>
              <w:ind w:right="62"/>
              <w:jc w:val="right"/>
              <w:rPr>
                <w:rFonts w:ascii="Bookman Old Style"/>
                <w:b w:val="0"/>
                <w:sz w:val="20"/>
              </w:rPr>
            </w:pPr>
            <w:r>
              <w:rPr>
                <w:rFonts w:ascii="Bookman Old Style"/>
                <w:b w:val="0"/>
                <w:w w:val="50"/>
                <w:sz w:val="20"/>
              </w:rPr>
              <w:t>1000000</w:t>
            </w:r>
          </w:p>
        </w:tc>
        <w:tc>
          <w:tcPr>
            <w:tcW w:w="598" w:type="dxa"/>
          </w:tcPr>
          <w:p>
            <w:pPr>
              <w:pStyle w:val="TableParagraph"/>
              <w:rPr>
                <w:rFonts w:ascii="Times New Roman"/>
                <w:sz w:val="18"/>
              </w:rPr>
            </w:pPr>
          </w:p>
        </w:tc>
        <w:tc>
          <w:tcPr>
            <w:tcW w:w="510" w:type="dxa"/>
          </w:tcPr>
          <w:p>
            <w:pPr>
              <w:pStyle w:val="TableParagraph"/>
              <w:rPr>
                <w:rFonts w:ascii="Times New Roman"/>
                <w:sz w:val="18"/>
              </w:rPr>
            </w:pPr>
          </w:p>
        </w:tc>
        <w:tc>
          <w:tcPr>
            <w:tcW w:w="512" w:type="dxa"/>
          </w:tcPr>
          <w:p>
            <w:pPr>
              <w:pStyle w:val="TableParagraph"/>
              <w:rPr>
                <w:rFonts w:ascii="Times New Roman"/>
                <w:sz w:val="18"/>
              </w:rPr>
            </w:pPr>
          </w:p>
        </w:tc>
        <w:tc>
          <w:tcPr>
            <w:tcW w:w="608" w:type="dxa"/>
          </w:tcPr>
          <w:p>
            <w:pPr>
              <w:pStyle w:val="TableParagraph"/>
              <w:spacing w:line="233" w:lineRule="exact"/>
              <w:ind w:right="64"/>
              <w:jc w:val="right"/>
              <w:rPr>
                <w:rFonts w:ascii="Bookman Old Style"/>
                <w:b w:val="0"/>
                <w:sz w:val="20"/>
              </w:rPr>
            </w:pPr>
            <w:r>
              <w:rPr>
                <w:rFonts w:ascii="Bookman Old Style"/>
                <w:b w:val="0"/>
                <w:w w:val="50"/>
                <w:sz w:val="20"/>
              </w:rPr>
              <w:t>200000</w:t>
            </w:r>
          </w:p>
        </w:tc>
        <w:tc>
          <w:tcPr>
            <w:tcW w:w="613" w:type="dxa"/>
          </w:tcPr>
          <w:p>
            <w:pPr>
              <w:pStyle w:val="TableParagraph"/>
              <w:rPr>
                <w:rFonts w:ascii="Times New Roman"/>
                <w:sz w:val="18"/>
              </w:rPr>
            </w:pPr>
          </w:p>
        </w:tc>
        <w:tc>
          <w:tcPr>
            <w:tcW w:w="491" w:type="dxa"/>
          </w:tcPr>
          <w:p>
            <w:pPr>
              <w:pStyle w:val="TableParagraph"/>
              <w:rPr>
                <w:rFonts w:ascii="Times New Roman"/>
                <w:sz w:val="18"/>
              </w:rPr>
            </w:pPr>
          </w:p>
        </w:tc>
        <w:tc>
          <w:tcPr>
            <w:tcW w:w="513" w:type="dxa"/>
          </w:tcPr>
          <w:p>
            <w:pPr>
              <w:pStyle w:val="TableParagraph"/>
              <w:rPr>
                <w:rFonts w:ascii="Times New Roman"/>
                <w:sz w:val="18"/>
              </w:rPr>
            </w:pPr>
          </w:p>
        </w:tc>
        <w:tc>
          <w:tcPr>
            <w:tcW w:w="607" w:type="dxa"/>
          </w:tcPr>
          <w:p>
            <w:pPr>
              <w:pStyle w:val="TableParagraph"/>
              <w:spacing w:line="233" w:lineRule="exact"/>
              <w:ind w:right="73"/>
              <w:jc w:val="right"/>
              <w:rPr>
                <w:rFonts w:ascii="Bookman Old Style"/>
                <w:b w:val="0"/>
                <w:sz w:val="20"/>
              </w:rPr>
            </w:pPr>
            <w:r>
              <w:rPr>
                <w:rFonts w:ascii="Bookman Old Style"/>
                <w:b w:val="0"/>
                <w:w w:val="50"/>
                <w:sz w:val="20"/>
              </w:rPr>
              <w:t>700000</w:t>
            </w:r>
          </w:p>
        </w:tc>
        <w:tc>
          <w:tcPr>
            <w:tcW w:w="587" w:type="dxa"/>
          </w:tcPr>
          <w:p>
            <w:pPr>
              <w:pStyle w:val="TableParagraph"/>
              <w:rPr>
                <w:rFonts w:ascii="Times New Roman"/>
                <w:sz w:val="18"/>
              </w:rPr>
            </w:pPr>
          </w:p>
        </w:tc>
        <w:tc>
          <w:tcPr>
            <w:tcW w:w="513" w:type="dxa"/>
          </w:tcPr>
          <w:p>
            <w:pPr>
              <w:pStyle w:val="TableParagraph"/>
              <w:rPr>
                <w:rFonts w:ascii="Times New Roman"/>
                <w:sz w:val="18"/>
              </w:rPr>
            </w:pPr>
          </w:p>
        </w:tc>
        <w:tc>
          <w:tcPr>
            <w:tcW w:w="491" w:type="dxa"/>
          </w:tcPr>
          <w:p>
            <w:pPr>
              <w:pStyle w:val="TableParagraph"/>
              <w:rPr>
                <w:rFonts w:ascii="Times New Roman"/>
                <w:sz w:val="18"/>
              </w:rPr>
            </w:pPr>
          </w:p>
        </w:tc>
        <w:tc>
          <w:tcPr>
            <w:tcW w:w="606" w:type="dxa"/>
          </w:tcPr>
          <w:p>
            <w:pPr>
              <w:pStyle w:val="TableParagraph"/>
              <w:spacing w:line="233" w:lineRule="exact"/>
              <w:ind w:right="78"/>
              <w:jc w:val="right"/>
              <w:rPr>
                <w:rFonts w:ascii="Bookman Old Style"/>
                <w:b w:val="0"/>
                <w:sz w:val="20"/>
              </w:rPr>
            </w:pPr>
            <w:r>
              <w:rPr>
                <w:rFonts w:ascii="Bookman Old Style"/>
                <w:b w:val="0"/>
                <w:w w:val="50"/>
                <w:sz w:val="20"/>
              </w:rPr>
              <w:t>500000</w:t>
            </w:r>
          </w:p>
        </w:tc>
        <w:tc>
          <w:tcPr>
            <w:tcW w:w="657" w:type="dxa"/>
          </w:tcPr>
          <w:p>
            <w:pPr>
              <w:pStyle w:val="TableParagraph"/>
              <w:rPr>
                <w:rFonts w:ascii="Times New Roman"/>
                <w:sz w:val="18"/>
              </w:rPr>
            </w:pPr>
          </w:p>
        </w:tc>
        <w:tc>
          <w:tcPr>
            <w:tcW w:w="1014" w:type="dxa"/>
          </w:tcPr>
          <w:p>
            <w:pPr>
              <w:pStyle w:val="TableParagraph"/>
              <w:spacing w:before="5"/>
              <w:ind w:right="79"/>
              <w:jc w:val="right"/>
              <w:rPr>
                <w:rFonts w:ascii="Times New Roman"/>
                <w:b/>
                <w:sz w:val="20"/>
              </w:rPr>
            </w:pPr>
            <w:r>
              <w:rPr>
                <w:rFonts w:ascii="Times New Roman"/>
                <w:b/>
                <w:w w:val="65"/>
                <w:sz w:val="20"/>
              </w:rPr>
              <w:t>3900000</w:t>
            </w:r>
          </w:p>
        </w:tc>
      </w:tr>
    </w:tbl>
    <w:p>
      <w:pPr>
        <w:spacing w:after="0"/>
        <w:jc w:val="right"/>
        <w:rPr>
          <w:rFonts w:ascii="Times New Roman"/>
          <w:sz w:val="20"/>
        </w:rPr>
        <w:sectPr>
          <w:pgSz w:w="16840" w:h="11910" w:orient="landscape"/>
          <w:pgMar w:header="0" w:footer="923" w:top="1100" w:bottom="1120" w:left="1240" w:right="122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972"/>
        <w:gridCol w:w="516"/>
        <w:gridCol w:w="552"/>
        <w:gridCol w:w="613"/>
        <w:gridCol w:w="629"/>
        <w:gridCol w:w="471"/>
        <w:gridCol w:w="471"/>
        <w:gridCol w:w="625"/>
        <w:gridCol w:w="603"/>
        <w:gridCol w:w="517"/>
        <w:gridCol w:w="517"/>
        <w:gridCol w:w="613"/>
        <w:gridCol w:w="615"/>
        <w:gridCol w:w="495"/>
        <w:gridCol w:w="517"/>
        <w:gridCol w:w="532"/>
        <w:gridCol w:w="589"/>
        <w:gridCol w:w="517"/>
        <w:gridCol w:w="495"/>
        <w:gridCol w:w="565"/>
        <w:gridCol w:w="664"/>
        <w:gridCol w:w="1016"/>
      </w:tblGrid>
      <w:tr>
        <w:trPr>
          <w:trHeight w:val="498" w:hRule="atLeast"/>
        </w:trPr>
        <w:tc>
          <w:tcPr>
            <w:tcW w:w="1054" w:type="dxa"/>
            <w:shd w:val="clear" w:color="auto" w:fill="5B9BD4"/>
          </w:tcPr>
          <w:p>
            <w:pPr>
              <w:pStyle w:val="TableParagraph"/>
              <w:spacing w:before="2"/>
              <w:ind w:left="69"/>
              <w:rPr>
                <w:rFonts w:ascii="Times New Roman"/>
                <w:b/>
                <w:sz w:val="18"/>
              </w:rPr>
            </w:pPr>
            <w:r>
              <w:rPr>
                <w:rFonts w:ascii="Times New Roman"/>
                <w:b/>
                <w:w w:val="75"/>
                <w:sz w:val="18"/>
              </w:rPr>
              <w:t>DIMENSION</w:t>
            </w:r>
          </w:p>
          <w:p>
            <w:pPr>
              <w:pStyle w:val="TableParagraph"/>
              <w:spacing w:before="42"/>
              <w:ind w:left="69"/>
              <w:rPr>
                <w:rFonts w:ascii="Times New Roman"/>
                <w:b/>
                <w:sz w:val="18"/>
              </w:rPr>
            </w:pPr>
            <w:r>
              <w:rPr>
                <w:rFonts w:ascii="Times New Roman"/>
                <w:b/>
                <w:w w:val="75"/>
                <w:sz w:val="18"/>
              </w:rPr>
              <w:t>MUNAY</w:t>
            </w:r>
          </w:p>
        </w:tc>
        <w:tc>
          <w:tcPr>
            <w:tcW w:w="972" w:type="dxa"/>
            <w:shd w:val="clear" w:color="auto" w:fill="5B9BD4"/>
          </w:tcPr>
          <w:p>
            <w:pPr>
              <w:pStyle w:val="TableParagraph"/>
              <w:rPr>
                <w:rFonts w:ascii="Times New Roman"/>
                <w:sz w:val="18"/>
              </w:rPr>
            </w:pPr>
          </w:p>
        </w:tc>
        <w:tc>
          <w:tcPr>
            <w:tcW w:w="2310" w:type="dxa"/>
            <w:gridSpan w:val="4"/>
            <w:shd w:val="clear" w:color="auto" w:fill="6F2F9F"/>
          </w:tcPr>
          <w:p>
            <w:pPr>
              <w:pStyle w:val="TableParagraph"/>
              <w:spacing w:line="209" w:lineRule="exact"/>
              <w:ind w:left="609"/>
              <w:rPr>
                <w:rFonts w:ascii="Bookman Old Style" w:hAnsi="Bookman Old Style"/>
                <w:b w:val="0"/>
                <w:sz w:val="18"/>
              </w:rPr>
            </w:pPr>
            <w:r>
              <w:rPr>
                <w:rFonts w:ascii="Bookman Old Style" w:hAnsi="Bookman Old Style"/>
                <w:b w:val="0"/>
                <w:color w:val="FFFFFF"/>
                <w:w w:val="65"/>
                <w:sz w:val="18"/>
              </w:rPr>
              <w:t>año 1 (por trimestres)</w:t>
            </w:r>
          </w:p>
        </w:tc>
        <w:tc>
          <w:tcPr>
            <w:tcW w:w="2170" w:type="dxa"/>
            <w:gridSpan w:val="4"/>
            <w:shd w:val="clear" w:color="auto" w:fill="C55811"/>
          </w:tcPr>
          <w:p>
            <w:pPr>
              <w:pStyle w:val="TableParagraph"/>
              <w:spacing w:line="209" w:lineRule="exact"/>
              <w:ind w:left="539"/>
              <w:rPr>
                <w:rFonts w:ascii="Bookman Old Style" w:hAnsi="Bookman Old Style"/>
                <w:b w:val="0"/>
                <w:sz w:val="18"/>
              </w:rPr>
            </w:pPr>
            <w:r>
              <w:rPr>
                <w:rFonts w:ascii="Bookman Old Style" w:hAnsi="Bookman Old Style"/>
                <w:b w:val="0"/>
                <w:color w:val="FFFFFF"/>
                <w:w w:val="65"/>
                <w:sz w:val="18"/>
              </w:rPr>
              <w:t>año 2 (por trimestres)</w:t>
            </w:r>
          </w:p>
        </w:tc>
        <w:tc>
          <w:tcPr>
            <w:tcW w:w="2262" w:type="dxa"/>
            <w:gridSpan w:val="4"/>
          </w:tcPr>
          <w:p>
            <w:pPr>
              <w:pStyle w:val="TableParagraph"/>
              <w:spacing w:line="209" w:lineRule="exact"/>
              <w:ind w:left="582"/>
              <w:rPr>
                <w:rFonts w:ascii="Bookman Old Style" w:hAnsi="Bookman Old Style"/>
                <w:b w:val="0"/>
                <w:sz w:val="18"/>
              </w:rPr>
            </w:pPr>
            <w:r>
              <w:rPr>
                <w:rFonts w:ascii="Bookman Old Style" w:hAnsi="Bookman Old Style"/>
                <w:b w:val="0"/>
                <w:w w:val="65"/>
                <w:sz w:val="18"/>
              </w:rPr>
              <w:t>año 3 (por trimestres)</w:t>
            </w:r>
          </w:p>
        </w:tc>
        <w:tc>
          <w:tcPr>
            <w:tcW w:w="2133" w:type="dxa"/>
            <w:gridSpan w:val="4"/>
            <w:shd w:val="clear" w:color="auto" w:fill="66FF33"/>
          </w:tcPr>
          <w:p>
            <w:pPr>
              <w:pStyle w:val="TableParagraph"/>
              <w:spacing w:line="209" w:lineRule="exact"/>
              <w:ind w:left="513"/>
              <w:rPr>
                <w:rFonts w:ascii="Bookman Old Style" w:hAnsi="Bookman Old Style"/>
                <w:b w:val="0"/>
                <w:sz w:val="18"/>
              </w:rPr>
            </w:pPr>
            <w:r>
              <w:rPr>
                <w:rFonts w:ascii="Bookman Old Style" w:hAnsi="Bookman Old Style"/>
                <w:b w:val="0"/>
                <w:w w:val="50"/>
                <w:sz w:val="18"/>
              </w:rPr>
              <w:t>añ</w:t>
            </w:r>
            <w:r>
              <w:rPr>
                <w:rFonts w:ascii="Bookman Old Style" w:hAnsi="Bookman Old Style"/>
                <w:b w:val="0"/>
                <w:w w:val="58"/>
                <w:sz w:val="18"/>
              </w:rPr>
              <w:t>o</w:t>
            </w:r>
            <w:r>
              <w:rPr>
                <w:rFonts w:ascii="Bookman Old Style" w:hAnsi="Bookman Old Style"/>
                <w:b w:val="0"/>
                <w:spacing w:val="-29"/>
                <w:sz w:val="18"/>
              </w:rPr>
              <w:t> </w:t>
            </w:r>
            <w:r>
              <w:rPr>
                <w:rFonts w:ascii="Bookman Old Style" w:hAnsi="Bookman Old Style"/>
                <w:b w:val="0"/>
                <w:smallCaps/>
                <w:w w:val="53"/>
                <w:sz w:val="18"/>
              </w:rPr>
              <w:t>4</w:t>
            </w:r>
            <w:r>
              <w:rPr>
                <w:rFonts w:ascii="Bookman Old Style" w:hAnsi="Bookman Old Style"/>
                <w:b w:val="0"/>
                <w:smallCaps w:val="0"/>
                <w:sz w:val="18"/>
              </w:rPr>
              <w:t> </w:t>
            </w:r>
            <w:r>
              <w:rPr>
                <w:rFonts w:ascii="Bookman Old Style" w:hAnsi="Bookman Old Style"/>
                <w:b w:val="0"/>
                <w:smallCaps w:val="0"/>
                <w:spacing w:val="-29"/>
                <w:sz w:val="18"/>
              </w:rPr>
              <w:t> </w:t>
            </w:r>
            <w:r>
              <w:rPr>
                <w:rFonts w:ascii="Bookman Old Style" w:hAnsi="Bookman Old Style"/>
                <w:b w:val="0"/>
                <w:smallCaps w:val="0"/>
                <w:spacing w:val="-2"/>
                <w:w w:val="73"/>
                <w:sz w:val="18"/>
              </w:rPr>
              <w:t>(</w:t>
            </w:r>
            <w:r>
              <w:rPr>
                <w:rFonts w:ascii="Bookman Old Style" w:hAnsi="Bookman Old Style"/>
                <w:b w:val="0"/>
                <w:smallCaps w:val="0"/>
                <w:w w:val="53"/>
                <w:sz w:val="18"/>
              </w:rPr>
              <w:t>p</w:t>
            </w:r>
            <w:r>
              <w:rPr>
                <w:rFonts w:ascii="Bookman Old Style" w:hAnsi="Bookman Old Style"/>
                <w:b w:val="0"/>
                <w:smallCaps w:val="0"/>
                <w:w w:val="58"/>
                <w:sz w:val="18"/>
              </w:rPr>
              <w:t>o</w:t>
            </w:r>
            <w:r>
              <w:rPr>
                <w:rFonts w:ascii="Bookman Old Style" w:hAnsi="Bookman Old Style"/>
                <w:b w:val="0"/>
                <w:smallCaps w:val="0"/>
                <w:w w:val="49"/>
                <w:sz w:val="18"/>
              </w:rPr>
              <w:t>r</w:t>
            </w:r>
            <w:r>
              <w:rPr>
                <w:rFonts w:ascii="Bookman Old Style" w:hAnsi="Bookman Old Style"/>
                <w:b w:val="0"/>
                <w:smallCaps w:val="0"/>
                <w:spacing w:val="-28"/>
                <w:sz w:val="18"/>
              </w:rPr>
              <w:t> </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61"/>
                <w:sz w:val="18"/>
              </w:rPr>
              <w:t>i</w:t>
            </w:r>
            <w:r>
              <w:rPr>
                <w:rFonts w:ascii="Bookman Old Style" w:hAnsi="Bookman Old Style"/>
                <w:b w:val="0"/>
                <w:smallCaps w:val="0"/>
                <w:spacing w:val="1"/>
                <w:w w:val="54"/>
                <w:sz w:val="18"/>
              </w:rPr>
              <w:t>m</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48"/>
                <w:sz w:val="18"/>
              </w:rPr>
              <w:t>t</w:t>
            </w:r>
            <w:r>
              <w:rPr>
                <w:rFonts w:ascii="Bookman Old Style" w:hAnsi="Bookman Old Style"/>
                <w:b w:val="0"/>
                <w:smallCaps w:val="0"/>
                <w:spacing w:val="-2"/>
                <w:w w:val="49"/>
                <w:sz w:val="18"/>
              </w:rPr>
              <w:t>r</w:t>
            </w:r>
            <w:r>
              <w:rPr>
                <w:rFonts w:ascii="Bookman Old Style" w:hAnsi="Bookman Old Style"/>
                <w:b w:val="0"/>
                <w:smallCaps w:val="0"/>
                <w:w w:val="52"/>
                <w:sz w:val="18"/>
              </w:rPr>
              <w:t>e</w:t>
            </w:r>
            <w:r>
              <w:rPr>
                <w:rFonts w:ascii="Bookman Old Style" w:hAnsi="Bookman Old Style"/>
                <w:b w:val="0"/>
                <w:smallCaps w:val="0"/>
                <w:spacing w:val="-1"/>
                <w:w w:val="52"/>
                <w:sz w:val="18"/>
              </w:rPr>
              <w:t>s</w:t>
            </w:r>
            <w:r>
              <w:rPr>
                <w:rFonts w:ascii="Bookman Old Style" w:hAnsi="Bookman Old Style"/>
                <w:b w:val="0"/>
                <w:smallCaps w:val="0"/>
                <w:w w:val="73"/>
                <w:sz w:val="18"/>
              </w:rPr>
              <w:t>)</w:t>
            </w:r>
          </w:p>
        </w:tc>
        <w:tc>
          <w:tcPr>
            <w:tcW w:w="2241" w:type="dxa"/>
            <w:gridSpan w:val="4"/>
            <w:shd w:val="clear" w:color="auto" w:fill="FF3300"/>
          </w:tcPr>
          <w:p>
            <w:pPr>
              <w:pStyle w:val="TableParagraph"/>
              <w:spacing w:line="209" w:lineRule="exact"/>
              <w:ind w:left="563"/>
              <w:rPr>
                <w:rFonts w:ascii="Bookman Old Style" w:hAnsi="Bookman Old Style"/>
                <w:b w:val="0"/>
                <w:sz w:val="18"/>
              </w:rPr>
            </w:pPr>
            <w:r>
              <w:rPr>
                <w:rFonts w:ascii="Bookman Old Style" w:hAnsi="Bookman Old Style"/>
                <w:b w:val="0"/>
                <w:w w:val="65"/>
                <w:sz w:val="18"/>
              </w:rPr>
              <w:t>año 5 (por trimestres)</w:t>
            </w:r>
          </w:p>
        </w:tc>
        <w:tc>
          <w:tcPr>
            <w:tcW w:w="1016" w:type="dxa"/>
          </w:tcPr>
          <w:p>
            <w:pPr>
              <w:pStyle w:val="TableParagraph"/>
              <w:spacing w:before="2"/>
              <w:ind w:left="55"/>
              <w:rPr>
                <w:rFonts w:ascii="Times New Roman"/>
                <w:b/>
                <w:sz w:val="18"/>
              </w:rPr>
            </w:pPr>
            <w:r>
              <w:rPr>
                <w:rFonts w:ascii="Times New Roman"/>
                <w:b/>
                <w:w w:val="75"/>
                <w:sz w:val="18"/>
              </w:rPr>
              <w:t>Subsubtotal por</w:t>
            </w:r>
          </w:p>
          <w:p>
            <w:pPr>
              <w:pStyle w:val="TableParagraph"/>
              <w:spacing w:before="42"/>
              <w:ind w:left="55"/>
              <w:rPr>
                <w:rFonts w:ascii="Times New Roman"/>
                <w:b/>
                <w:sz w:val="18"/>
              </w:rPr>
            </w:pPr>
            <w:r>
              <w:rPr>
                <w:rFonts w:ascii="Times New Roman"/>
                <w:b/>
                <w:w w:val="75"/>
                <w:sz w:val="18"/>
              </w:rPr>
              <w:t>actividad</w:t>
            </w:r>
          </w:p>
        </w:tc>
      </w:tr>
      <w:tr>
        <w:trPr>
          <w:trHeight w:val="328" w:hRule="atLeast"/>
        </w:trPr>
        <w:tc>
          <w:tcPr>
            <w:tcW w:w="1054" w:type="dxa"/>
            <w:shd w:val="clear" w:color="auto" w:fill="5B9BD4"/>
          </w:tcPr>
          <w:p>
            <w:pPr>
              <w:pStyle w:val="TableParagraph"/>
              <w:spacing w:before="2"/>
              <w:ind w:left="69"/>
              <w:rPr>
                <w:rFonts w:ascii="Times New Roman"/>
                <w:b/>
                <w:sz w:val="18"/>
              </w:rPr>
            </w:pPr>
            <w:r>
              <w:rPr>
                <w:rFonts w:ascii="Times New Roman"/>
                <w:b/>
                <w:w w:val="75"/>
                <w:sz w:val="18"/>
              </w:rPr>
              <w:t>RESULTADOS</w:t>
            </w:r>
          </w:p>
        </w:tc>
        <w:tc>
          <w:tcPr>
            <w:tcW w:w="972" w:type="dxa"/>
            <w:shd w:val="clear" w:color="auto" w:fill="5B9BD4"/>
          </w:tcPr>
          <w:p>
            <w:pPr>
              <w:pStyle w:val="TableParagraph"/>
              <w:spacing w:before="2"/>
              <w:ind w:left="56" w:right="46"/>
              <w:jc w:val="center"/>
              <w:rPr>
                <w:rFonts w:ascii="Times New Roman"/>
                <w:b/>
                <w:sz w:val="18"/>
              </w:rPr>
            </w:pPr>
            <w:r>
              <w:rPr>
                <w:rFonts w:ascii="Times New Roman"/>
                <w:b/>
                <w:w w:val="65"/>
                <w:sz w:val="18"/>
              </w:rPr>
              <w:t>ACTIVIDADES</w:t>
            </w:r>
          </w:p>
        </w:tc>
        <w:tc>
          <w:tcPr>
            <w:tcW w:w="516" w:type="dxa"/>
          </w:tcPr>
          <w:p>
            <w:pPr>
              <w:pStyle w:val="TableParagraph"/>
              <w:spacing w:before="2"/>
              <w:ind w:left="9"/>
              <w:jc w:val="center"/>
              <w:rPr>
                <w:rFonts w:ascii="Times New Roman"/>
                <w:b/>
                <w:sz w:val="18"/>
              </w:rPr>
            </w:pPr>
            <w:r>
              <w:rPr>
                <w:rFonts w:ascii="Times New Roman"/>
                <w:b/>
                <w:w w:val="66"/>
                <w:sz w:val="18"/>
              </w:rPr>
              <w:t>1</w:t>
            </w:r>
          </w:p>
        </w:tc>
        <w:tc>
          <w:tcPr>
            <w:tcW w:w="552" w:type="dxa"/>
          </w:tcPr>
          <w:p>
            <w:pPr>
              <w:pStyle w:val="TableParagraph"/>
              <w:spacing w:before="2"/>
              <w:ind w:left="244"/>
              <w:rPr>
                <w:rFonts w:ascii="Times New Roman"/>
                <w:b/>
                <w:sz w:val="18"/>
              </w:rPr>
            </w:pPr>
            <w:r>
              <w:rPr>
                <w:rFonts w:ascii="Times New Roman"/>
                <w:b/>
                <w:w w:val="66"/>
                <w:sz w:val="18"/>
              </w:rPr>
              <w:t>2</w:t>
            </w:r>
          </w:p>
        </w:tc>
        <w:tc>
          <w:tcPr>
            <w:tcW w:w="613" w:type="dxa"/>
          </w:tcPr>
          <w:p>
            <w:pPr>
              <w:pStyle w:val="TableParagraph"/>
              <w:spacing w:line="209" w:lineRule="exact"/>
              <w:ind w:right="58"/>
              <w:jc w:val="right"/>
              <w:rPr>
                <w:rFonts w:ascii="Bookman Old Style"/>
                <w:b w:val="0"/>
                <w:sz w:val="18"/>
              </w:rPr>
            </w:pPr>
            <w:r>
              <w:rPr>
                <w:rFonts w:ascii="Bookman Old Style"/>
                <w:b w:val="0"/>
                <w:w w:val="53"/>
                <w:sz w:val="18"/>
              </w:rPr>
              <w:t>3</w:t>
            </w:r>
          </w:p>
        </w:tc>
        <w:tc>
          <w:tcPr>
            <w:tcW w:w="629" w:type="dxa"/>
          </w:tcPr>
          <w:p>
            <w:pPr>
              <w:pStyle w:val="TableParagraph"/>
              <w:spacing w:line="209" w:lineRule="exact"/>
              <w:ind w:right="61"/>
              <w:jc w:val="right"/>
              <w:rPr>
                <w:rFonts w:ascii="Bookman Old Style"/>
                <w:b w:val="0"/>
                <w:sz w:val="18"/>
              </w:rPr>
            </w:pPr>
            <w:r>
              <w:rPr>
                <w:rFonts w:ascii="Bookman Old Style"/>
                <w:b w:val="0"/>
                <w:smallCaps/>
                <w:w w:val="53"/>
                <w:sz w:val="18"/>
              </w:rPr>
              <w:t>4</w:t>
            </w:r>
          </w:p>
        </w:tc>
        <w:tc>
          <w:tcPr>
            <w:tcW w:w="471" w:type="dxa"/>
          </w:tcPr>
          <w:p>
            <w:pPr>
              <w:pStyle w:val="TableParagraph"/>
              <w:spacing w:before="2"/>
              <w:ind w:left="4"/>
              <w:jc w:val="center"/>
              <w:rPr>
                <w:rFonts w:ascii="Times New Roman"/>
                <w:b/>
                <w:sz w:val="18"/>
              </w:rPr>
            </w:pPr>
            <w:r>
              <w:rPr>
                <w:rFonts w:ascii="Times New Roman"/>
                <w:b/>
                <w:w w:val="66"/>
                <w:sz w:val="18"/>
              </w:rPr>
              <w:t>1</w:t>
            </w:r>
          </w:p>
        </w:tc>
        <w:tc>
          <w:tcPr>
            <w:tcW w:w="471" w:type="dxa"/>
          </w:tcPr>
          <w:p>
            <w:pPr>
              <w:pStyle w:val="TableParagraph"/>
              <w:spacing w:before="2"/>
              <w:ind w:left="3"/>
              <w:jc w:val="center"/>
              <w:rPr>
                <w:rFonts w:ascii="Times New Roman"/>
                <w:b/>
                <w:sz w:val="18"/>
              </w:rPr>
            </w:pPr>
            <w:r>
              <w:rPr>
                <w:rFonts w:ascii="Times New Roman"/>
                <w:b/>
                <w:w w:val="66"/>
                <w:sz w:val="18"/>
              </w:rPr>
              <w:t>2</w:t>
            </w:r>
          </w:p>
        </w:tc>
        <w:tc>
          <w:tcPr>
            <w:tcW w:w="625" w:type="dxa"/>
          </w:tcPr>
          <w:p>
            <w:pPr>
              <w:pStyle w:val="TableParagraph"/>
              <w:spacing w:line="209" w:lineRule="exact"/>
              <w:ind w:right="61"/>
              <w:jc w:val="right"/>
              <w:rPr>
                <w:rFonts w:ascii="Bookman Old Style"/>
                <w:b w:val="0"/>
                <w:sz w:val="18"/>
              </w:rPr>
            </w:pPr>
            <w:r>
              <w:rPr>
                <w:rFonts w:ascii="Bookman Old Style"/>
                <w:b w:val="0"/>
                <w:w w:val="53"/>
                <w:sz w:val="18"/>
              </w:rPr>
              <w:t>3</w:t>
            </w:r>
          </w:p>
        </w:tc>
        <w:tc>
          <w:tcPr>
            <w:tcW w:w="603" w:type="dxa"/>
          </w:tcPr>
          <w:p>
            <w:pPr>
              <w:pStyle w:val="TableParagraph"/>
              <w:spacing w:line="209" w:lineRule="exact"/>
              <w:ind w:right="64"/>
              <w:jc w:val="right"/>
              <w:rPr>
                <w:rFonts w:ascii="Bookman Old Style"/>
                <w:b w:val="0"/>
                <w:sz w:val="18"/>
              </w:rPr>
            </w:pPr>
            <w:r>
              <w:rPr>
                <w:rFonts w:ascii="Bookman Old Style"/>
                <w:b w:val="0"/>
                <w:smallCaps/>
                <w:w w:val="53"/>
                <w:sz w:val="18"/>
              </w:rPr>
              <w:t>4</w:t>
            </w:r>
          </w:p>
        </w:tc>
        <w:tc>
          <w:tcPr>
            <w:tcW w:w="517" w:type="dxa"/>
          </w:tcPr>
          <w:p>
            <w:pPr>
              <w:pStyle w:val="TableParagraph"/>
              <w:spacing w:before="2"/>
              <w:ind w:left="224"/>
              <w:rPr>
                <w:rFonts w:ascii="Times New Roman"/>
                <w:b/>
                <w:sz w:val="18"/>
              </w:rPr>
            </w:pPr>
            <w:r>
              <w:rPr>
                <w:rFonts w:ascii="Times New Roman"/>
                <w:b/>
                <w:w w:val="66"/>
                <w:sz w:val="18"/>
              </w:rPr>
              <w:t>1</w:t>
            </w:r>
          </w:p>
        </w:tc>
        <w:tc>
          <w:tcPr>
            <w:tcW w:w="517" w:type="dxa"/>
          </w:tcPr>
          <w:p>
            <w:pPr>
              <w:pStyle w:val="TableParagraph"/>
              <w:spacing w:before="2"/>
              <w:jc w:val="center"/>
              <w:rPr>
                <w:rFonts w:ascii="Times New Roman"/>
                <w:b/>
                <w:sz w:val="18"/>
              </w:rPr>
            </w:pPr>
            <w:r>
              <w:rPr>
                <w:rFonts w:ascii="Times New Roman"/>
                <w:b/>
                <w:w w:val="66"/>
                <w:sz w:val="18"/>
              </w:rPr>
              <w:t>2</w:t>
            </w:r>
          </w:p>
        </w:tc>
        <w:tc>
          <w:tcPr>
            <w:tcW w:w="613" w:type="dxa"/>
          </w:tcPr>
          <w:p>
            <w:pPr>
              <w:pStyle w:val="TableParagraph"/>
              <w:spacing w:line="209" w:lineRule="exact"/>
              <w:ind w:right="64"/>
              <w:jc w:val="right"/>
              <w:rPr>
                <w:rFonts w:ascii="Bookman Old Style"/>
                <w:b w:val="0"/>
                <w:sz w:val="18"/>
              </w:rPr>
            </w:pPr>
            <w:r>
              <w:rPr>
                <w:rFonts w:ascii="Bookman Old Style"/>
                <w:b w:val="0"/>
                <w:w w:val="53"/>
                <w:sz w:val="18"/>
              </w:rPr>
              <w:t>3</w:t>
            </w:r>
          </w:p>
        </w:tc>
        <w:tc>
          <w:tcPr>
            <w:tcW w:w="615" w:type="dxa"/>
          </w:tcPr>
          <w:p>
            <w:pPr>
              <w:pStyle w:val="TableParagraph"/>
              <w:spacing w:line="209" w:lineRule="exact"/>
              <w:ind w:right="64"/>
              <w:jc w:val="right"/>
              <w:rPr>
                <w:rFonts w:ascii="Bookman Old Style"/>
                <w:b w:val="0"/>
                <w:sz w:val="18"/>
              </w:rPr>
            </w:pPr>
            <w:r>
              <w:rPr>
                <w:rFonts w:ascii="Bookman Old Style"/>
                <w:b w:val="0"/>
                <w:smallCaps/>
                <w:w w:val="53"/>
                <w:sz w:val="18"/>
              </w:rPr>
              <w:t>4</w:t>
            </w:r>
          </w:p>
        </w:tc>
        <w:tc>
          <w:tcPr>
            <w:tcW w:w="495" w:type="dxa"/>
          </w:tcPr>
          <w:p>
            <w:pPr>
              <w:pStyle w:val="TableParagraph"/>
              <w:spacing w:before="2"/>
              <w:ind w:right="5"/>
              <w:jc w:val="center"/>
              <w:rPr>
                <w:rFonts w:ascii="Times New Roman"/>
                <w:b/>
                <w:sz w:val="18"/>
              </w:rPr>
            </w:pPr>
            <w:r>
              <w:rPr>
                <w:rFonts w:ascii="Times New Roman"/>
                <w:b/>
                <w:w w:val="66"/>
                <w:sz w:val="18"/>
              </w:rPr>
              <w:t>1</w:t>
            </w:r>
          </w:p>
        </w:tc>
        <w:tc>
          <w:tcPr>
            <w:tcW w:w="517" w:type="dxa"/>
          </w:tcPr>
          <w:p>
            <w:pPr>
              <w:pStyle w:val="TableParagraph"/>
              <w:spacing w:before="2"/>
              <w:ind w:right="4"/>
              <w:jc w:val="center"/>
              <w:rPr>
                <w:rFonts w:ascii="Times New Roman"/>
                <w:b/>
                <w:sz w:val="18"/>
              </w:rPr>
            </w:pPr>
            <w:r>
              <w:rPr>
                <w:rFonts w:ascii="Times New Roman"/>
                <w:b/>
                <w:w w:val="66"/>
                <w:sz w:val="18"/>
              </w:rPr>
              <w:t>2</w:t>
            </w:r>
          </w:p>
        </w:tc>
        <w:tc>
          <w:tcPr>
            <w:tcW w:w="532" w:type="dxa"/>
          </w:tcPr>
          <w:p>
            <w:pPr>
              <w:pStyle w:val="TableParagraph"/>
              <w:spacing w:line="209" w:lineRule="exact"/>
              <w:ind w:right="67"/>
              <w:jc w:val="right"/>
              <w:rPr>
                <w:rFonts w:ascii="Bookman Old Style"/>
                <w:b w:val="0"/>
                <w:sz w:val="18"/>
              </w:rPr>
            </w:pPr>
            <w:r>
              <w:rPr>
                <w:rFonts w:ascii="Bookman Old Style"/>
                <w:b w:val="0"/>
                <w:w w:val="53"/>
                <w:sz w:val="18"/>
              </w:rPr>
              <w:t>3</w:t>
            </w:r>
          </w:p>
        </w:tc>
        <w:tc>
          <w:tcPr>
            <w:tcW w:w="589" w:type="dxa"/>
          </w:tcPr>
          <w:p>
            <w:pPr>
              <w:pStyle w:val="TableParagraph"/>
              <w:spacing w:line="209" w:lineRule="exact"/>
              <w:ind w:right="68"/>
              <w:jc w:val="right"/>
              <w:rPr>
                <w:rFonts w:ascii="Bookman Old Style"/>
                <w:b w:val="0"/>
                <w:sz w:val="18"/>
              </w:rPr>
            </w:pPr>
            <w:r>
              <w:rPr>
                <w:rFonts w:ascii="Bookman Old Style"/>
                <w:b w:val="0"/>
                <w:smallCaps/>
                <w:w w:val="53"/>
                <w:sz w:val="18"/>
              </w:rPr>
              <w:t>4</w:t>
            </w:r>
          </w:p>
        </w:tc>
        <w:tc>
          <w:tcPr>
            <w:tcW w:w="517" w:type="dxa"/>
          </w:tcPr>
          <w:p>
            <w:pPr>
              <w:pStyle w:val="TableParagraph"/>
              <w:spacing w:line="209" w:lineRule="exact"/>
              <w:ind w:right="69"/>
              <w:jc w:val="right"/>
              <w:rPr>
                <w:rFonts w:ascii="Bookman Old Style"/>
                <w:b w:val="0"/>
                <w:sz w:val="18"/>
              </w:rPr>
            </w:pPr>
            <w:r>
              <w:rPr>
                <w:rFonts w:ascii="Bookman Old Style"/>
                <w:b w:val="0"/>
                <w:w w:val="53"/>
                <w:sz w:val="18"/>
              </w:rPr>
              <w:t>1</w:t>
            </w:r>
          </w:p>
        </w:tc>
        <w:tc>
          <w:tcPr>
            <w:tcW w:w="495" w:type="dxa"/>
          </w:tcPr>
          <w:p>
            <w:pPr>
              <w:pStyle w:val="TableParagraph"/>
              <w:spacing w:line="209" w:lineRule="exact"/>
              <w:ind w:right="72"/>
              <w:jc w:val="right"/>
              <w:rPr>
                <w:rFonts w:ascii="Bookman Old Style"/>
                <w:b w:val="0"/>
                <w:sz w:val="18"/>
              </w:rPr>
            </w:pPr>
            <w:r>
              <w:rPr>
                <w:rFonts w:ascii="Bookman Old Style"/>
                <w:b w:val="0"/>
                <w:w w:val="53"/>
                <w:sz w:val="18"/>
              </w:rPr>
              <w:t>2</w:t>
            </w:r>
          </w:p>
        </w:tc>
        <w:tc>
          <w:tcPr>
            <w:tcW w:w="565" w:type="dxa"/>
          </w:tcPr>
          <w:p>
            <w:pPr>
              <w:pStyle w:val="TableParagraph"/>
              <w:spacing w:line="209" w:lineRule="exact"/>
              <w:ind w:right="71"/>
              <w:jc w:val="right"/>
              <w:rPr>
                <w:rFonts w:ascii="Bookman Old Style"/>
                <w:b w:val="0"/>
                <w:sz w:val="18"/>
              </w:rPr>
            </w:pPr>
            <w:r>
              <w:rPr>
                <w:rFonts w:ascii="Bookman Old Style"/>
                <w:b w:val="0"/>
                <w:w w:val="53"/>
                <w:sz w:val="18"/>
              </w:rPr>
              <w:t>3</w:t>
            </w:r>
          </w:p>
        </w:tc>
        <w:tc>
          <w:tcPr>
            <w:tcW w:w="664" w:type="dxa"/>
          </w:tcPr>
          <w:p>
            <w:pPr>
              <w:pStyle w:val="TableParagraph"/>
              <w:spacing w:line="209" w:lineRule="exact"/>
              <w:ind w:right="75"/>
              <w:jc w:val="right"/>
              <w:rPr>
                <w:rFonts w:ascii="Bookman Old Style"/>
                <w:b w:val="0"/>
                <w:sz w:val="18"/>
              </w:rPr>
            </w:pPr>
            <w:r>
              <w:rPr>
                <w:rFonts w:ascii="Bookman Old Style"/>
                <w:b w:val="0"/>
                <w:smallCaps/>
                <w:w w:val="53"/>
                <w:sz w:val="18"/>
              </w:rPr>
              <w:t>4</w:t>
            </w:r>
          </w:p>
        </w:tc>
        <w:tc>
          <w:tcPr>
            <w:tcW w:w="1016" w:type="dxa"/>
          </w:tcPr>
          <w:p>
            <w:pPr>
              <w:pStyle w:val="TableParagraph"/>
              <w:rPr>
                <w:rFonts w:ascii="Times New Roman"/>
                <w:sz w:val="18"/>
              </w:rPr>
            </w:pPr>
          </w:p>
        </w:tc>
      </w:tr>
      <w:tr>
        <w:trPr>
          <w:trHeight w:val="373" w:hRule="atLeast"/>
        </w:trPr>
        <w:tc>
          <w:tcPr>
            <w:tcW w:w="1054" w:type="dxa"/>
          </w:tcPr>
          <w:p>
            <w:pPr>
              <w:pStyle w:val="TableParagraph"/>
              <w:spacing w:line="209" w:lineRule="exact"/>
              <w:ind w:left="69"/>
              <w:rPr>
                <w:rFonts w:ascii="Bookman Old Style"/>
                <w:b w:val="0"/>
                <w:sz w:val="18"/>
              </w:rPr>
            </w:pPr>
            <w:r>
              <w:rPr>
                <w:rFonts w:ascii="Bookman Old Style"/>
                <w:b w:val="0"/>
                <w:w w:val="65"/>
                <w:sz w:val="18"/>
              </w:rPr>
              <w:t>R.11.</w:t>
            </w: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w w:val="65"/>
                <w:sz w:val="18"/>
              </w:rPr>
              <w:t>36</w:t>
            </w:r>
          </w:p>
        </w:tc>
        <w:tc>
          <w:tcPr>
            <w:tcW w:w="516" w:type="dxa"/>
          </w:tcPr>
          <w:p>
            <w:pPr>
              <w:pStyle w:val="TableParagraph"/>
              <w:spacing w:line="233" w:lineRule="exact"/>
              <w:ind w:right="59"/>
              <w:jc w:val="right"/>
              <w:rPr>
                <w:rFonts w:ascii="Bookman Old Style"/>
                <w:b w:val="0"/>
                <w:sz w:val="20"/>
              </w:rPr>
            </w:pPr>
            <w:r>
              <w:rPr>
                <w:rFonts w:ascii="Bookman Old Style"/>
                <w:b w:val="0"/>
                <w:w w:val="50"/>
                <w:sz w:val="20"/>
              </w:rPr>
              <w:t>7000</w:t>
            </w:r>
          </w:p>
        </w:tc>
        <w:tc>
          <w:tcPr>
            <w:tcW w:w="552" w:type="dxa"/>
          </w:tcPr>
          <w:p>
            <w:pPr>
              <w:pStyle w:val="TableParagraph"/>
              <w:rPr>
                <w:rFonts w:ascii="Times New Roman"/>
                <w:sz w:val="18"/>
              </w:rPr>
            </w:pPr>
          </w:p>
        </w:tc>
        <w:tc>
          <w:tcPr>
            <w:tcW w:w="613" w:type="dxa"/>
          </w:tcPr>
          <w:p>
            <w:pPr>
              <w:pStyle w:val="TableParagraph"/>
              <w:rPr>
                <w:rFonts w:ascii="Times New Roman"/>
                <w:sz w:val="18"/>
              </w:rPr>
            </w:pPr>
          </w:p>
        </w:tc>
        <w:tc>
          <w:tcPr>
            <w:tcW w:w="629" w:type="dxa"/>
          </w:tcPr>
          <w:p>
            <w:pPr>
              <w:pStyle w:val="TableParagraph"/>
              <w:rPr>
                <w:rFonts w:ascii="Times New Roman"/>
                <w:sz w:val="18"/>
              </w:rPr>
            </w:pPr>
          </w:p>
        </w:tc>
        <w:tc>
          <w:tcPr>
            <w:tcW w:w="471" w:type="dxa"/>
          </w:tcPr>
          <w:p>
            <w:pPr>
              <w:pStyle w:val="TableParagraph"/>
              <w:rPr>
                <w:rFonts w:ascii="Times New Roman"/>
                <w:sz w:val="18"/>
              </w:rPr>
            </w:pPr>
          </w:p>
        </w:tc>
        <w:tc>
          <w:tcPr>
            <w:tcW w:w="471" w:type="dxa"/>
          </w:tcPr>
          <w:p>
            <w:pPr>
              <w:pStyle w:val="TableParagraph"/>
              <w:rPr>
                <w:rFonts w:ascii="Times New Roman"/>
                <w:sz w:val="18"/>
              </w:rPr>
            </w:pPr>
          </w:p>
        </w:tc>
        <w:tc>
          <w:tcPr>
            <w:tcW w:w="625" w:type="dxa"/>
          </w:tcPr>
          <w:p>
            <w:pPr>
              <w:pStyle w:val="TableParagraph"/>
              <w:rPr>
                <w:rFonts w:ascii="Times New Roman"/>
                <w:sz w:val="18"/>
              </w:rPr>
            </w:pPr>
          </w:p>
        </w:tc>
        <w:tc>
          <w:tcPr>
            <w:tcW w:w="603" w:type="dxa"/>
          </w:tcPr>
          <w:p>
            <w:pPr>
              <w:pStyle w:val="TableParagraph"/>
              <w:rPr>
                <w:rFonts w:ascii="Times New Roman"/>
                <w:sz w:val="18"/>
              </w:rPr>
            </w:pPr>
          </w:p>
        </w:tc>
        <w:tc>
          <w:tcPr>
            <w:tcW w:w="517" w:type="dxa"/>
          </w:tcPr>
          <w:p>
            <w:pPr>
              <w:pStyle w:val="TableParagraph"/>
              <w:rPr>
                <w:rFonts w:ascii="Times New Roman"/>
                <w:sz w:val="18"/>
              </w:rPr>
            </w:pPr>
          </w:p>
        </w:tc>
        <w:tc>
          <w:tcPr>
            <w:tcW w:w="517" w:type="dxa"/>
          </w:tcPr>
          <w:p>
            <w:pPr>
              <w:pStyle w:val="TableParagraph"/>
              <w:spacing w:line="233" w:lineRule="exact"/>
              <w:ind w:left="136" w:right="25"/>
              <w:jc w:val="center"/>
              <w:rPr>
                <w:rFonts w:ascii="Bookman Old Style"/>
                <w:b w:val="0"/>
                <w:sz w:val="20"/>
              </w:rPr>
            </w:pPr>
            <w:r>
              <w:rPr>
                <w:rFonts w:ascii="Bookman Old Style"/>
                <w:b w:val="0"/>
                <w:w w:val="60"/>
                <w:sz w:val="20"/>
              </w:rPr>
              <w:t>7000</w:t>
            </w:r>
          </w:p>
        </w:tc>
        <w:tc>
          <w:tcPr>
            <w:tcW w:w="613" w:type="dxa"/>
          </w:tcPr>
          <w:p>
            <w:pPr>
              <w:pStyle w:val="TableParagraph"/>
              <w:rPr>
                <w:rFonts w:ascii="Times New Roman"/>
                <w:sz w:val="18"/>
              </w:rPr>
            </w:pPr>
          </w:p>
        </w:tc>
        <w:tc>
          <w:tcPr>
            <w:tcW w:w="615" w:type="dxa"/>
          </w:tcPr>
          <w:p>
            <w:pPr>
              <w:pStyle w:val="TableParagraph"/>
              <w:rPr>
                <w:rFonts w:ascii="Times New Roman"/>
                <w:sz w:val="18"/>
              </w:rPr>
            </w:pPr>
          </w:p>
        </w:tc>
        <w:tc>
          <w:tcPr>
            <w:tcW w:w="495" w:type="dxa"/>
          </w:tcPr>
          <w:p>
            <w:pPr>
              <w:pStyle w:val="TableParagraph"/>
              <w:rPr>
                <w:rFonts w:ascii="Times New Roman"/>
                <w:sz w:val="18"/>
              </w:rPr>
            </w:pPr>
          </w:p>
        </w:tc>
        <w:tc>
          <w:tcPr>
            <w:tcW w:w="517" w:type="dxa"/>
          </w:tcPr>
          <w:p>
            <w:pPr>
              <w:pStyle w:val="TableParagraph"/>
              <w:rPr>
                <w:rFonts w:ascii="Times New Roman"/>
                <w:sz w:val="18"/>
              </w:rPr>
            </w:pPr>
          </w:p>
        </w:tc>
        <w:tc>
          <w:tcPr>
            <w:tcW w:w="532" w:type="dxa"/>
          </w:tcPr>
          <w:p>
            <w:pPr>
              <w:pStyle w:val="TableParagraph"/>
              <w:rPr>
                <w:rFonts w:ascii="Times New Roman"/>
                <w:sz w:val="18"/>
              </w:rPr>
            </w:pPr>
          </w:p>
        </w:tc>
        <w:tc>
          <w:tcPr>
            <w:tcW w:w="589" w:type="dxa"/>
          </w:tcPr>
          <w:p>
            <w:pPr>
              <w:pStyle w:val="TableParagraph"/>
              <w:rPr>
                <w:rFonts w:ascii="Times New Roman"/>
                <w:sz w:val="18"/>
              </w:rPr>
            </w:pPr>
          </w:p>
        </w:tc>
        <w:tc>
          <w:tcPr>
            <w:tcW w:w="517" w:type="dxa"/>
          </w:tcPr>
          <w:p>
            <w:pPr>
              <w:pStyle w:val="TableParagraph"/>
              <w:rPr>
                <w:rFonts w:ascii="Times New Roman"/>
                <w:sz w:val="18"/>
              </w:rPr>
            </w:pPr>
          </w:p>
        </w:tc>
        <w:tc>
          <w:tcPr>
            <w:tcW w:w="495" w:type="dxa"/>
          </w:tcPr>
          <w:p>
            <w:pPr>
              <w:pStyle w:val="TableParagraph"/>
              <w:rPr>
                <w:rFonts w:ascii="Times New Roman"/>
                <w:sz w:val="18"/>
              </w:rPr>
            </w:pPr>
          </w:p>
        </w:tc>
        <w:tc>
          <w:tcPr>
            <w:tcW w:w="565" w:type="dxa"/>
          </w:tcPr>
          <w:p>
            <w:pPr>
              <w:pStyle w:val="TableParagraph"/>
              <w:rPr>
                <w:rFonts w:ascii="Times New Roman"/>
                <w:sz w:val="18"/>
              </w:rPr>
            </w:pPr>
          </w:p>
        </w:tc>
        <w:tc>
          <w:tcPr>
            <w:tcW w:w="664" w:type="dxa"/>
          </w:tcPr>
          <w:p>
            <w:pPr>
              <w:pStyle w:val="TableParagraph"/>
              <w:rPr>
                <w:rFonts w:ascii="Times New Roman"/>
                <w:sz w:val="18"/>
              </w:rPr>
            </w:pPr>
          </w:p>
        </w:tc>
        <w:tc>
          <w:tcPr>
            <w:tcW w:w="1016" w:type="dxa"/>
          </w:tcPr>
          <w:p>
            <w:pPr>
              <w:pStyle w:val="TableParagraph"/>
              <w:spacing w:before="5"/>
              <w:ind w:right="74"/>
              <w:jc w:val="right"/>
              <w:rPr>
                <w:rFonts w:ascii="Times New Roman"/>
                <w:b/>
                <w:sz w:val="20"/>
              </w:rPr>
            </w:pPr>
            <w:r>
              <w:rPr>
                <w:rFonts w:ascii="Times New Roman"/>
                <w:b/>
                <w:w w:val="65"/>
                <w:sz w:val="20"/>
              </w:rPr>
              <w:t>14000</w:t>
            </w:r>
          </w:p>
        </w:tc>
      </w:tr>
      <w:tr>
        <w:trPr>
          <w:trHeight w:val="311" w:hRule="atLeast"/>
        </w:trPr>
        <w:tc>
          <w:tcPr>
            <w:tcW w:w="1054" w:type="dxa"/>
          </w:tcPr>
          <w:p>
            <w:pPr>
              <w:pStyle w:val="TableParagraph"/>
              <w:rPr>
                <w:rFonts w:ascii="Times New Roman"/>
                <w:sz w:val="18"/>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w w:val="65"/>
                <w:sz w:val="18"/>
              </w:rPr>
              <w:t>37</w:t>
            </w:r>
          </w:p>
        </w:tc>
        <w:tc>
          <w:tcPr>
            <w:tcW w:w="516" w:type="dxa"/>
          </w:tcPr>
          <w:p>
            <w:pPr>
              <w:pStyle w:val="TableParagraph"/>
              <w:rPr>
                <w:rFonts w:ascii="Times New Roman"/>
                <w:sz w:val="18"/>
              </w:rPr>
            </w:pPr>
          </w:p>
        </w:tc>
        <w:tc>
          <w:tcPr>
            <w:tcW w:w="552" w:type="dxa"/>
          </w:tcPr>
          <w:p>
            <w:pPr>
              <w:pStyle w:val="TableParagraph"/>
              <w:rPr>
                <w:rFonts w:ascii="Times New Roman"/>
                <w:sz w:val="18"/>
              </w:rPr>
            </w:pPr>
          </w:p>
        </w:tc>
        <w:tc>
          <w:tcPr>
            <w:tcW w:w="613" w:type="dxa"/>
          </w:tcPr>
          <w:p>
            <w:pPr>
              <w:pStyle w:val="TableParagraph"/>
              <w:rPr>
                <w:rFonts w:ascii="Times New Roman"/>
                <w:sz w:val="18"/>
              </w:rPr>
            </w:pPr>
          </w:p>
        </w:tc>
        <w:tc>
          <w:tcPr>
            <w:tcW w:w="629" w:type="dxa"/>
          </w:tcPr>
          <w:p>
            <w:pPr>
              <w:pStyle w:val="TableParagraph"/>
              <w:spacing w:line="233" w:lineRule="exact"/>
              <w:ind w:right="62"/>
              <w:jc w:val="right"/>
              <w:rPr>
                <w:rFonts w:ascii="Bookman Old Style"/>
                <w:b w:val="0"/>
                <w:sz w:val="20"/>
              </w:rPr>
            </w:pPr>
            <w:r>
              <w:rPr>
                <w:rFonts w:ascii="Bookman Old Style"/>
                <w:b w:val="0"/>
                <w:w w:val="50"/>
                <w:sz w:val="20"/>
              </w:rPr>
              <w:t>60000</w:t>
            </w:r>
          </w:p>
        </w:tc>
        <w:tc>
          <w:tcPr>
            <w:tcW w:w="471" w:type="dxa"/>
          </w:tcPr>
          <w:p>
            <w:pPr>
              <w:pStyle w:val="TableParagraph"/>
              <w:rPr>
                <w:rFonts w:ascii="Times New Roman"/>
                <w:sz w:val="18"/>
              </w:rPr>
            </w:pPr>
          </w:p>
        </w:tc>
        <w:tc>
          <w:tcPr>
            <w:tcW w:w="471" w:type="dxa"/>
          </w:tcPr>
          <w:p>
            <w:pPr>
              <w:pStyle w:val="TableParagraph"/>
              <w:rPr>
                <w:rFonts w:ascii="Times New Roman"/>
                <w:sz w:val="18"/>
              </w:rPr>
            </w:pPr>
          </w:p>
        </w:tc>
        <w:tc>
          <w:tcPr>
            <w:tcW w:w="625" w:type="dxa"/>
          </w:tcPr>
          <w:p>
            <w:pPr>
              <w:pStyle w:val="TableParagraph"/>
              <w:rPr>
                <w:rFonts w:ascii="Times New Roman"/>
                <w:sz w:val="18"/>
              </w:rPr>
            </w:pP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60000</w:t>
            </w:r>
          </w:p>
        </w:tc>
        <w:tc>
          <w:tcPr>
            <w:tcW w:w="517" w:type="dxa"/>
          </w:tcPr>
          <w:p>
            <w:pPr>
              <w:pStyle w:val="TableParagraph"/>
              <w:rPr>
                <w:rFonts w:ascii="Times New Roman"/>
                <w:sz w:val="18"/>
              </w:rPr>
            </w:pPr>
          </w:p>
        </w:tc>
        <w:tc>
          <w:tcPr>
            <w:tcW w:w="517" w:type="dxa"/>
          </w:tcPr>
          <w:p>
            <w:pPr>
              <w:pStyle w:val="TableParagraph"/>
              <w:rPr>
                <w:rFonts w:ascii="Times New Roman"/>
                <w:sz w:val="18"/>
              </w:rPr>
            </w:pPr>
          </w:p>
        </w:tc>
        <w:tc>
          <w:tcPr>
            <w:tcW w:w="613" w:type="dxa"/>
          </w:tcPr>
          <w:p>
            <w:pPr>
              <w:pStyle w:val="TableParagraph"/>
              <w:rPr>
                <w:rFonts w:ascii="Times New Roman"/>
                <w:sz w:val="18"/>
              </w:rPr>
            </w:pPr>
          </w:p>
        </w:tc>
        <w:tc>
          <w:tcPr>
            <w:tcW w:w="615" w:type="dxa"/>
          </w:tcPr>
          <w:p>
            <w:pPr>
              <w:pStyle w:val="TableParagraph"/>
              <w:spacing w:line="233" w:lineRule="exact"/>
              <w:ind w:right="66"/>
              <w:jc w:val="right"/>
              <w:rPr>
                <w:rFonts w:ascii="Bookman Old Style"/>
                <w:b w:val="0"/>
                <w:sz w:val="20"/>
              </w:rPr>
            </w:pPr>
            <w:r>
              <w:rPr>
                <w:rFonts w:ascii="Bookman Old Style"/>
                <w:b w:val="0"/>
                <w:w w:val="50"/>
                <w:sz w:val="20"/>
              </w:rPr>
              <w:t>60000</w:t>
            </w:r>
          </w:p>
        </w:tc>
        <w:tc>
          <w:tcPr>
            <w:tcW w:w="495" w:type="dxa"/>
          </w:tcPr>
          <w:p>
            <w:pPr>
              <w:pStyle w:val="TableParagraph"/>
              <w:rPr>
                <w:rFonts w:ascii="Times New Roman"/>
                <w:sz w:val="18"/>
              </w:rPr>
            </w:pPr>
          </w:p>
        </w:tc>
        <w:tc>
          <w:tcPr>
            <w:tcW w:w="517" w:type="dxa"/>
          </w:tcPr>
          <w:p>
            <w:pPr>
              <w:pStyle w:val="TableParagraph"/>
              <w:rPr>
                <w:rFonts w:ascii="Times New Roman"/>
                <w:sz w:val="18"/>
              </w:rPr>
            </w:pPr>
          </w:p>
        </w:tc>
        <w:tc>
          <w:tcPr>
            <w:tcW w:w="532" w:type="dxa"/>
          </w:tcPr>
          <w:p>
            <w:pPr>
              <w:pStyle w:val="TableParagraph"/>
              <w:rPr>
                <w:rFonts w:ascii="Times New Roman"/>
                <w:sz w:val="18"/>
              </w:rPr>
            </w:pPr>
          </w:p>
        </w:tc>
        <w:tc>
          <w:tcPr>
            <w:tcW w:w="589" w:type="dxa"/>
          </w:tcPr>
          <w:p>
            <w:pPr>
              <w:pStyle w:val="TableParagraph"/>
              <w:spacing w:line="233" w:lineRule="exact"/>
              <w:ind w:right="70"/>
              <w:jc w:val="right"/>
              <w:rPr>
                <w:rFonts w:ascii="Bookman Old Style"/>
                <w:b w:val="0"/>
                <w:sz w:val="20"/>
              </w:rPr>
            </w:pPr>
            <w:r>
              <w:rPr>
                <w:rFonts w:ascii="Bookman Old Style"/>
                <w:b w:val="0"/>
                <w:w w:val="50"/>
                <w:sz w:val="20"/>
              </w:rPr>
              <w:t>60000</w:t>
            </w:r>
          </w:p>
        </w:tc>
        <w:tc>
          <w:tcPr>
            <w:tcW w:w="517" w:type="dxa"/>
          </w:tcPr>
          <w:p>
            <w:pPr>
              <w:pStyle w:val="TableParagraph"/>
              <w:rPr>
                <w:rFonts w:ascii="Times New Roman"/>
                <w:sz w:val="18"/>
              </w:rPr>
            </w:pPr>
          </w:p>
        </w:tc>
        <w:tc>
          <w:tcPr>
            <w:tcW w:w="495" w:type="dxa"/>
          </w:tcPr>
          <w:p>
            <w:pPr>
              <w:pStyle w:val="TableParagraph"/>
              <w:rPr>
                <w:rFonts w:ascii="Times New Roman"/>
                <w:sz w:val="18"/>
              </w:rPr>
            </w:pPr>
          </w:p>
        </w:tc>
        <w:tc>
          <w:tcPr>
            <w:tcW w:w="565" w:type="dxa"/>
          </w:tcPr>
          <w:p>
            <w:pPr>
              <w:pStyle w:val="TableParagraph"/>
              <w:rPr>
                <w:rFonts w:ascii="Times New Roman"/>
                <w:sz w:val="18"/>
              </w:rPr>
            </w:pP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60000</w:t>
            </w:r>
          </w:p>
        </w:tc>
        <w:tc>
          <w:tcPr>
            <w:tcW w:w="1016" w:type="dxa"/>
          </w:tcPr>
          <w:p>
            <w:pPr>
              <w:pStyle w:val="TableParagraph"/>
              <w:spacing w:before="5"/>
              <w:ind w:right="74"/>
              <w:jc w:val="right"/>
              <w:rPr>
                <w:rFonts w:ascii="Times New Roman"/>
                <w:b/>
                <w:sz w:val="20"/>
              </w:rPr>
            </w:pPr>
            <w:r>
              <w:rPr>
                <w:rFonts w:ascii="Times New Roman"/>
                <w:b/>
                <w:w w:val="65"/>
                <w:sz w:val="20"/>
              </w:rPr>
              <w:t>300000</w:t>
            </w:r>
          </w:p>
        </w:tc>
      </w:tr>
      <w:tr>
        <w:trPr>
          <w:trHeight w:val="275" w:hRule="atLeast"/>
        </w:trPr>
        <w:tc>
          <w:tcPr>
            <w:tcW w:w="1054" w:type="dxa"/>
            <w:vMerge w:val="restart"/>
          </w:tcPr>
          <w:p>
            <w:pPr>
              <w:pStyle w:val="TableParagraph"/>
              <w:spacing w:line="209" w:lineRule="exact"/>
              <w:ind w:left="69"/>
              <w:rPr>
                <w:rFonts w:ascii="Bookman Old Style"/>
                <w:b w:val="0"/>
                <w:sz w:val="18"/>
              </w:rPr>
            </w:pPr>
            <w:r>
              <w:rPr>
                <w:rFonts w:ascii="Bookman Old Style"/>
                <w:b w:val="0"/>
                <w:w w:val="65"/>
                <w:sz w:val="18"/>
              </w:rPr>
              <w:t>R.12.</w:t>
            </w: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38</w:t>
            </w:r>
          </w:p>
        </w:tc>
        <w:tc>
          <w:tcPr>
            <w:tcW w:w="516" w:type="dxa"/>
          </w:tcPr>
          <w:p>
            <w:pPr>
              <w:pStyle w:val="TableParagraph"/>
              <w:spacing w:line="233" w:lineRule="exact"/>
              <w:ind w:right="59"/>
              <w:jc w:val="right"/>
              <w:rPr>
                <w:rFonts w:ascii="Bookman Old Style"/>
                <w:b w:val="0"/>
                <w:sz w:val="20"/>
              </w:rPr>
            </w:pPr>
            <w:r>
              <w:rPr>
                <w:rFonts w:ascii="Bookman Old Style"/>
                <w:b w:val="0"/>
                <w:w w:val="50"/>
                <w:sz w:val="20"/>
              </w:rPr>
              <w:t>5000</w:t>
            </w:r>
          </w:p>
        </w:tc>
        <w:tc>
          <w:tcPr>
            <w:tcW w:w="552" w:type="dxa"/>
          </w:tcPr>
          <w:p>
            <w:pPr>
              <w:pStyle w:val="TableParagraph"/>
              <w:rPr>
                <w:rFonts w:ascii="Times New Roman"/>
                <w:sz w:val="18"/>
              </w:rPr>
            </w:pPr>
          </w:p>
        </w:tc>
        <w:tc>
          <w:tcPr>
            <w:tcW w:w="613" w:type="dxa"/>
          </w:tcPr>
          <w:p>
            <w:pPr>
              <w:pStyle w:val="TableParagraph"/>
              <w:rPr>
                <w:rFonts w:ascii="Times New Roman"/>
                <w:sz w:val="18"/>
              </w:rPr>
            </w:pPr>
          </w:p>
        </w:tc>
        <w:tc>
          <w:tcPr>
            <w:tcW w:w="629" w:type="dxa"/>
          </w:tcPr>
          <w:p>
            <w:pPr>
              <w:pStyle w:val="TableParagraph"/>
              <w:rPr>
                <w:rFonts w:ascii="Times New Roman"/>
                <w:sz w:val="18"/>
              </w:rPr>
            </w:pPr>
          </w:p>
        </w:tc>
        <w:tc>
          <w:tcPr>
            <w:tcW w:w="471" w:type="dxa"/>
          </w:tcPr>
          <w:p>
            <w:pPr>
              <w:pStyle w:val="TableParagraph"/>
              <w:rPr>
                <w:rFonts w:ascii="Times New Roman"/>
                <w:sz w:val="18"/>
              </w:rPr>
            </w:pPr>
          </w:p>
        </w:tc>
        <w:tc>
          <w:tcPr>
            <w:tcW w:w="471" w:type="dxa"/>
          </w:tcPr>
          <w:p>
            <w:pPr>
              <w:pStyle w:val="TableParagraph"/>
              <w:rPr>
                <w:rFonts w:ascii="Times New Roman"/>
                <w:sz w:val="18"/>
              </w:rPr>
            </w:pPr>
          </w:p>
        </w:tc>
        <w:tc>
          <w:tcPr>
            <w:tcW w:w="625" w:type="dxa"/>
          </w:tcPr>
          <w:p>
            <w:pPr>
              <w:pStyle w:val="TableParagraph"/>
              <w:rPr>
                <w:rFonts w:ascii="Times New Roman"/>
                <w:sz w:val="18"/>
              </w:rPr>
            </w:pPr>
          </w:p>
        </w:tc>
        <w:tc>
          <w:tcPr>
            <w:tcW w:w="603" w:type="dxa"/>
          </w:tcPr>
          <w:p>
            <w:pPr>
              <w:pStyle w:val="TableParagraph"/>
              <w:rPr>
                <w:rFonts w:ascii="Times New Roman"/>
                <w:sz w:val="18"/>
              </w:rPr>
            </w:pPr>
          </w:p>
        </w:tc>
        <w:tc>
          <w:tcPr>
            <w:tcW w:w="517" w:type="dxa"/>
          </w:tcPr>
          <w:p>
            <w:pPr>
              <w:pStyle w:val="TableParagraph"/>
              <w:spacing w:line="233" w:lineRule="exact"/>
              <w:ind w:left="179"/>
              <w:rPr>
                <w:rFonts w:ascii="Bookman Old Style"/>
                <w:b w:val="0"/>
                <w:sz w:val="20"/>
              </w:rPr>
            </w:pPr>
            <w:r>
              <w:rPr>
                <w:rFonts w:ascii="Bookman Old Style"/>
                <w:b w:val="0"/>
                <w:w w:val="60"/>
                <w:sz w:val="20"/>
              </w:rPr>
              <w:t>5000</w:t>
            </w:r>
          </w:p>
        </w:tc>
        <w:tc>
          <w:tcPr>
            <w:tcW w:w="517" w:type="dxa"/>
          </w:tcPr>
          <w:p>
            <w:pPr>
              <w:pStyle w:val="TableParagraph"/>
              <w:rPr>
                <w:rFonts w:ascii="Times New Roman"/>
                <w:sz w:val="18"/>
              </w:rPr>
            </w:pPr>
          </w:p>
        </w:tc>
        <w:tc>
          <w:tcPr>
            <w:tcW w:w="613" w:type="dxa"/>
          </w:tcPr>
          <w:p>
            <w:pPr>
              <w:pStyle w:val="TableParagraph"/>
              <w:rPr>
                <w:rFonts w:ascii="Times New Roman"/>
                <w:sz w:val="18"/>
              </w:rPr>
            </w:pPr>
          </w:p>
        </w:tc>
        <w:tc>
          <w:tcPr>
            <w:tcW w:w="615" w:type="dxa"/>
          </w:tcPr>
          <w:p>
            <w:pPr>
              <w:pStyle w:val="TableParagraph"/>
              <w:rPr>
                <w:rFonts w:ascii="Times New Roman"/>
                <w:sz w:val="18"/>
              </w:rPr>
            </w:pPr>
          </w:p>
        </w:tc>
        <w:tc>
          <w:tcPr>
            <w:tcW w:w="495" w:type="dxa"/>
          </w:tcPr>
          <w:p>
            <w:pPr>
              <w:pStyle w:val="TableParagraph"/>
              <w:rPr>
                <w:rFonts w:ascii="Times New Roman"/>
                <w:sz w:val="18"/>
              </w:rPr>
            </w:pPr>
          </w:p>
        </w:tc>
        <w:tc>
          <w:tcPr>
            <w:tcW w:w="517" w:type="dxa"/>
          </w:tcPr>
          <w:p>
            <w:pPr>
              <w:pStyle w:val="TableParagraph"/>
              <w:rPr>
                <w:rFonts w:ascii="Times New Roman"/>
                <w:sz w:val="18"/>
              </w:rPr>
            </w:pPr>
          </w:p>
        </w:tc>
        <w:tc>
          <w:tcPr>
            <w:tcW w:w="532" w:type="dxa"/>
          </w:tcPr>
          <w:p>
            <w:pPr>
              <w:pStyle w:val="TableParagraph"/>
              <w:rPr>
                <w:rFonts w:ascii="Times New Roman"/>
                <w:sz w:val="18"/>
              </w:rPr>
            </w:pPr>
          </w:p>
        </w:tc>
        <w:tc>
          <w:tcPr>
            <w:tcW w:w="589" w:type="dxa"/>
          </w:tcPr>
          <w:p>
            <w:pPr>
              <w:pStyle w:val="TableParagraph"/>
              <w:rPr>
                <w:rFonts w:ascii="Times New Roman"/>
                <w:sz w:val="18"/>
              </w:rPr>
            </w:pPr>
          </w:p>
        </w:tc>
        <w:tc>
          <w:tcPr>
            <w:tcW w:w="517" w:type="dxa"/>
          </w:tcPr>
          <w:p>
            <w:pPr>
              <w:pStyle w:val="TableParagraph"/>
              <w:spacing w:line="233" w:lineRule="exact"/>
              <w:ind w:right="70"/>
              <w:jc w:val="right"/>
              <w:rPr>
                <w:rFonts w:ascii="Bookman Old Style"/>
                <w:b w:val="0"/>
                <w:sz w:val="20"/>
              </w:rPr>
            </w:pPr>
            <w:r>
              <w:rPr>
                <w:rFonts w:ascii="Bookman Old Style"/>
                <w:b w:val="0"/>
                <w:w w:val="50"/>
                <w:sz w:val="20"/>
              </w:rPr>
              <w:t>5000</w:t>
            </w:r>
          </w:p>
        </w:tc>
        <w:tc>
          <w:tcPr>
            <w:tcW w:w="495" w:type="dxa"/>
          </w:tcPr>
          <w:p>
            <w:pPr>
              <w:pStyle w:val="TableParagraph"/>
              <w:rPr>
                <w:rFonts w:ascii="Times New Roman"/>
                <w:sz w:val="18"/>
              </w:rPr>
            </w:pPr>
          </w:p>
        </w:tc>
        <w:tc>
          <w:tcPr>
            <w:tcW w:w="565" w:type="dxa"/>
          </w:tcPr>
          <w:p>
            <w:pPr>
              <w:pStyle w:val="TableParagraph"/>
              <w:rPr>
                <w:rFonts w:ascii="Times New Roman"/>
                <w:sz w:val="18"/>
              </w:rPr>
            </w:pPr>
          </w:p>
        </w:tc>
        <w:tc>
          <w:tcPr>
            <w:tcW w:w="664" w:type="dxa"/>
          </w:tcPr>
          <w:p>
            <w:pPr>
              <w:pStyle w:val="TableParagraph"/>
              <w:rPr>
                <w:rFonts w:ascii="Times New Roman"/>
                <w:sz w:val="18"/>
              </w:rPr>
            </w:pPr>
          </w:p>
        </w:tc>
        <w:tc>
          <w:tcPr>
            <w:tcW w:w="1016" w:type="dxa"/>
          </w:tcPr>
          <w:p>
            <w:pPr>
              <w:pStyle w:val="TableParagraph"/>
              <w:spacing w:before="5"/>
              <w:ind w:right="74"/>
              <w:jc w:val="right"/>
              <w:rPr>
                <w:rFonts w:ascii="Times New Roman"/>
                <w:b/>
                <w:sz w:val="20"/>
              </w:rPr>
            </w:pPr>
            <w:r>
              <w:rPr>
                <w:rFonts w:ascii="Times New Roman"/>
                <w:b/>
                <w:w w:val="65"/>
                <w:sz w:val="20"/>
              </w:rPr>
              <w:t>15000</w:t>
            </w:r>
          </w:p>
        </w:tc>
      </w:tr>
      <w:tr>
        <w:trPr>
          <w:trHeight w:val="420"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w w:val="65"/>
                <w:sz w:val="18"/>
              </w:rPr>
              <w:t>39</w:t>
            </w:r>
          </w:p>
        </w:tc>
        <w:tc>
          <w:tcPr>
            <w:tcW w:w="516" w:type="dxa"/>
          </w:tcPr>
          <w:p>
            <w:pPr>
              <w:pStyle w:val="TableParagraph"/>
              <w:spacing w:line="233" w:lineRule="exact"/>
              <w:ind w:right="59"/>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52" w:type="dxa"/>
          </w:tcPr>
          <w:p>
            <w:pPr>
              <w:pStyle w:val="TableParagraph"/>
              <w:spacing w:line="233" w:lineRule="exact"/>
              <w:ind w:left="218"/>
              <w:rPr>
                <w:rFonts w:ascii="Bookman Old Style"/>
                <w:b w:val="0"/>
                <w:sz w:val="20"/>
              </w:rPr>
            </w:pPr>
            <w:r>
              <w:rPr>
                <w:rFonts w:ascii="Bookman Old Style"/>
                <w:b w:val="0"/>
                <w:w w:val="60"/>
                <w:sz w:val="20"/>
              </w:rPr>
              <w:t>7000</w:t>
            </w:r>
          </w:p>
        </w:tc>
        <w:tc>
          <w:tcPr>
            <w:tcW w:w="613" w:type="dxa"/>
          </w:tcPr>
          <w:p>
            <w:pPr>
              <w:pStyle w:val="TableParagraph"/>
              <w:spacing w:line="233" w:lineRule="exact"/>
              <w:ind w:right="60"/>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29" w:type="dxa"/>
          </w:tcPr>
          <w:p>
            <w:pPr>
              <w:pStyle w:val="TableParagraph"/>
              <w:spacing w:line="233" w:lineRule="exact"/>
              <w:ind w:right="62"/>
              <w:jc w:val="right"/>
              <w:rPr>
                <w:rFonts w:ascii="Bookman Old Style"/>
                <w:b w:val="0"/>
                <w:sz w:val="20"/>
              </w:rPr>
            </w:pPr>
            <w:r>
              <w:rPr>
                <w:rFonts w:ascii="Bookman Old Style"/>
                <w:b w:val="0"/>
                <w:w w:val="50"/>
                <w:sz w:val="20"/>
              </w:rPr>
              <w:t>7000</w:t>
            </w:r>
          </w:p>
        </w:tc>
        <w:tc>
          <w:tcPr>
            <w:tcW w:w="471" w:type="dxa"/>
          </w:tcPr>
          <w:p>
            <w:pPr>
              <w:pStyle w:val="TableParagraph"/>
              <w:spacing w:line="233" w:lineRule="exact"/>
              <w:ind w:left="97" w:right="24"/>
              <w:jc w:val="center"/>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71" w:type="dxa"/>
          </w:tcPr>
          <w:p>
            <w:pPr>
              <w:pStyle w:val="TableParagraph"/>
              <w:spacing w:line="233" w:lineRule="exact"/>
              <w:ind w:left="29" w:right="25"/>
              <w:jc w:val="center"/>
              <w:rPr>
                <w:rFonts w:ascii="Bookman Old Style"/>
                <w:b w:val="0"/>
                <w:sz w:val="20"/>
              </w:rPr>
            </w:pPr>
            <w:r>
              <w:rPr>
                <w:rFonts w:ascii="Bookman Old Style"/>
                <w:b w:val="0"/>
                <w:w w:val="55"/>
                <w:sz w:val="20"/>
              </w:rPr>
              <w:t>20000</w:t>
            </w:r>
          </w:p>
        </w:tc>
        <w:tc>
          <w:tcPr>
            <w:tcW w:w="625" w:type="dxa"/>
          </w:tcPr>
          <w:p>
            <w:pPr>
              <w:pStyle w:val="TableParagraph"/>
              <w:spacing w:line="233" w:lineRule="exact"/>
              <w:ind w:right="62"/>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7000</w:t>
            </w:r>
          </w:p>
        </w:tc>
        <w:tc>
          <w:tcPr>
            <w:tcW w:w="517" w:type="dxa"/>
          </w:tcPr>
          <w:p>
            <w:pPr>
              <w:pStyle w:val="TableParagraph"/>
              <w:spacing w:line="233" w:lineRule="exact"/>
              <w:ind w:left="179"/>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17" w:type="dxa"/>
          </w:tcPr>
          <w:p>
            <w:pPr>
              <w:pStyle w:val="TableParagraph"/>
              <w:spacing w:line="233" w:lineRule="exact"/>
              <w:ind w:left="136" w:right="25"/>
              <w:jc w:val="center"/>
              <w:rPr>
                <w:rFonts w:ascii="Bookman Old Style"/>
                <w:b w:val="0"/>
                <w:sz w:val="20"/>
              </w:rPr>
            </w:pPr>
            <w:r>
              <w:rPr>
                <w:rFonts w:ascii="Bookman Old Style"/>
                <w:b w:val="0"/>
                <w:w w:val="60"/>
                <w:sz w:val="20"/>
              </w:rPr>
              <w:t>7000</w:t>
            </w:r>
          </w:p>
        </w:tc>
        <w:tc>
          <w:tcPr>
            <w:tcW w:w="613" w:type="dxa"/>
          </w:tcPr>
          <w:p>
            <w:pPr>
              <w:pStyle w:val="TableParagraph"/>
              <w:spacing w:line="233" w:lineRule="exact"/>
              <w:ind w:right="65"/>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15" w:type="dxa"/>
          </w:tcPr>
          <w:p>
            <w:pPr>
              <w:pStyle w:val="TableParagraph"/>
              <w:spacing w:line="233" w:lineRule="exact"/>
              <w:ind w:right="66"/>
              <w:jc w:val="right"/>
              <w:rPr>
                <w:rFonts w:ascii="Bookman Old Style"/>
                <w:b w:val="0"/>
                <w:sz w:val="20"/>
              </w:rPr>
            </w:pPr>
            <w:r>
              <w:rPr>
                <w:rFonts w:ascii="Bookman Old Style"/>
                <w:b w:val="0"/>
                <w:w w:val="50"/>
                <w:sz w:val="20"/>
              </w:rPr>
              <w:t>7000</w:t>
            </w:r>
          </w:p>
        </w:tc>
        <w:tc>
          <w:tcPr>
            <w:tcW w:w="495" w:type="dxa"/>
          </w:tcPr>
          <w:p>
            <w:pPr>
              <w:pStyle w:val="TableParagraph"/>
              <w:spacing w:line="233" w:lineRule="exact"/>
              <w:ind w:left="110" w:right="30"/>
              <w:jc w:val="center"/>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17" w:type="dxa"/>
          </w:tcPr>
          <w:p>
            <w:pPr>
              <w:pStyle w:val="TableParagraph"/>
              <w:spacing w:line="233" w:lineRule="exact"/>
              <w:ind w:left="62" w:right="25"/>
              <w:jc w:val="center"/>
              <w:rPr>
                <w:rFonts w:ascii="Bookman Old Style"/>
                <w:b w:val="0"/>
                <w:sz w:val="20"/>
              </w:rPr>
            </w:pPr>
            <w:r>
              <w:rPr>
                <w:rFonts w:ascii="Bookman Old Style"/>
                <w:b w:val="0"/>
                <w:w w:val="60"/>
                <w:sz w:val="20"/>
              </w:rPr>
              <w:t>20000</w:t>
            </w:r>
          </w:p>
        </w:tc>
        <w:tc>
          <w:tcPr>
            <w:tcW w:w="532" w:type="dxa"/>
          </w:tcPr>
          <w:p>
            <w:pPr>
              <w:pStyle w:val="TableParagraph"/>
              <w:spacing w:line="233" w:lineRule="exact"/>
              <w:ind w:right="68"/>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589" w:type="dxa"/>
          </w:tcPr>
          <w:p>
            <w:pPr>
              <w:pStyle w:val="TableParagraph"/>
              <w:spacing w:line="233" w:lineRule="exact"/>
              <w:ind w:right="69"/>
              <w:jc w:val="right"/>
              <w:rPr>
                <w:rFonts w:ascii="Bookman Old Style"/>
                <w:b w:val="0"/>
                <w:sz w:val="20"/>
              </w:rPr>
            </w:pPr>
            <w:r>
              <w:rPr>
                <w:rFonts w:ascii="Bookman Old Style"/>
                <w:b w:val="0"/>
                <w:w w:val="50"/>
                <w:sz w:val="20"/>
              </w:rPr>
              <w:t>7000</w:t>
            </w:r>
          </w:p>
        </w:tc>
        <w:tc>
          <w:tcPr>
            <w:tcW w:w="517" w:type="dxa"/>
          </w:tcPr>
          <w:p>
            <w:pPr>
              <w:pStyle w:val="TableParagraph"/>
              <w:spacing w:line="233" w:lineRule="exact"/>
              <w:ind w:right="70"/>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495" w:type="dxa"/>
          </w:tcPr>
          <w:p>
            <w:pPr>
              <w:pStyle w:val="TableParagraph"/>
              <w:spacing w:line="233" w:lineRule="exact"/>
              <w:ind w:right="73"/>
              <w:jc w:val="right"/>
              <w:rPr>
                <w:rFonts w:ascii="Bookman Old Style"/>
                <w:b w:val="0"/>
                <w:sz w:val="20"/>
              </w:rPr>
            </w:pPr>
            <w:r>
              <w:rPr>
                <w:rFonts w:ascii="Bookman Old Style"/>
                <w:b w:val="0"/>
                <w:w w:val="50"/>
                <w:sz w:val="20"/>
              </w:rPr>
              <w:t>7000</w:t>
            </w:r>
          </w:p>
        </w:tc>
        <w:tc>
          <w:tcPr>
            <w:tcW w:w="565" w:type="dxa"/>
          </w:tcPr>
          <w:p>
            <w:pPr>
              <w:pStyle w:val="TableParagraph"/>
              <w:spacing w:line="233" w:lineRule="exact"/>
              <w:ind w:right="72"/>
              <w:jc w:val="right"/>
              <w:rPr>
                <w:rFonts w:ascii="Bookman Old Style"/>
                <w:b w:val="0"/>
                <w:sz w:val="20"/>
              </w:rPr>
            </w:pPr>
            <w:r>
              <w:rPr>
                <w:rFonts w:ascii="Bookman Old Style"/>
                <w:b w:val="0"/>
                <w:smallCaps/>
                <w:spacing w:val="-2"/>
                <w:w w:val="53"/>
                <w:sz w:val="20"/>
              </w:rPr>
              <w:t>4</w:t>
            </w:r>
            <w:r>
              <w:rPr>
                <w:rFonts w:ascii="Bookman Old Style"/>
                <w:b w:val="0"/>
                <w:smallCaps w:val="0"/>
                <w:spacing w:val="1"/>
                <w:w w:val="53"/>
                <w:sz w:val="20"/>
              </w:rPr>
              <w:t>0</w:t>
            </w:r>
            <w:r>
              <w:rPr>
                <w:rFonts w:ascii="Bookman Old Style"/>
                <w:b w:val="0"/>
                <w:smallCaps w:val="0"/>
                <w:spacing w:val="-2"/>
                <w:w w:val="53"/>
                <w:sz w:val="20"/>
              </w:rPr>
              <w:t>0</w:t>
            </w:r>
            <w:r>
              <w:rPr>
                <w:rFonts w:ascii="Bookman Old Style"/>
                <w:b w:val="0"/>
                <w:smallCaps w:val="0"/>
                <w:w w:val="53"/>
                <w:sz w:val="20"/>
              </w:rPr>
              <w:t>0</w:t>
            </w: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7000</w:t>
            </w:r>
          </w:p>
        </w:tc>
        <w:tc>
          <w:tcPr>
            <w:tcW w:w="1016" w:type="dxa"/>
          </w:tcPr>
          <w:p>
            <w:pPr>
              <w:pStyle w:val="TableParagraph"/>
              <w:spacing w:before="5"/>
              <w:ind w:right="74"/>
              <w:jc w:val="right"/>
              <w:rPr>
                <w:rFonts w:ascii="Times New Roman"/>
                <w:b/>
                <w:sz w:val="20"/>
              </w:rPr>
            </w:pPr>
            <w:r>
              <w:rPr>
                <w:rFonts w:ascii="Times New Roman"/>
                <w:b/>
                <w:w w:val="65"/>
                <w:sz w:val="20"/>
              </w:rPr>
              <w:t>136000</w:t>
            </w:r>
          </w:p>
        </w:tc>
      </w:tr>
      <w:tr>
        <w:trPr>
          <w:trHeight w:val="405"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40</w:t>
            </w:r>
          </w:p>
        </w:tc>
        <w:tc>
          <w:tcPr>
            <w:tcW w:w="516" w:type="dxa"/>
          </w:tcPr>
          <w:p>
            <w:pPr>
              <w:pStyle w:val="TableParagraph"/>
              <w:spacing w:line="233" w:lineRule="exact"/>
              <w:ind w:right="59"/>
              <w:jc w:val="right"/>
              <w:rPr>
                <w:rFonts w:ascii="Bookman Old Style"/>
                <w:b w:val="0"/>
                <w:sz w:val="20"/>
              </w:rPr>
            </w:pPr>
            <w:r>
              <w:rPr>
                <w:rFonts w:ascii="Bookman Old Style"/>
                <w:b w:val="0"/>
                <w:w w:val="50"/>
                <w:sz w:val="20"/>
              </w:rPr>
              <w:t>20000</w:t>
            </w:r>
          </w:p>
        </w:tc>
        <w:tc>
          <w:tcPr>
            <w:tcW w:w="552" w:type="dxa"/>
          </w:tcPr>
          <w:p>
            <w:pPr>
              <w:pStyle w:val="TableParagraph"/>
              <w:spacing w:line="233" w:lineRule="exact"/>
              <w:ind w:left="150"/>
              <w:rPr>
                <w:rFonts w:ascii="Bookman Old Style"/>
                <w:b w:val="0"/>
                <w:sz w:val="20"/>
              </w:rPr>
            </w:pPr>
            <w:r>
              <w:rPr>
                <w:rFonts w:ascii="Bookman Old Style"/>
                <w:b w:val="0"/>
                <w:w w:val="55"/>
                <w:sz w:val="20"/>
              </w:rPr>
              <w:t>15000</w:t>
            </w:r>
          </w:p>
        </w:tc>
        <w:tc>
          <w:tcPr>
            <w:tcW w:w="613" w:type="dxa"/>
          </w:tcPr>
          <w:p>
            <w:pPr>
              <w:pStyle w:val="TableParagraph"/>
              <w:rPr>
                <w:rFonts w:ascii="Times New Roman"/>
                <w:sz w:val="18"/>
              </w:rPr>
            </w:pPr>
          </w:p>
        </w:tc>
        <w:tc>
          <w:tcPr>
            <w:tcW w:w="629" w:type="dxa"/>
          </w:tcPr>
          <w:p>
            <w:pPr>
              <w:pStyle w:val="TableParagraph"/>
              <w:rPr>
                <w:rFonts w:ascii="Times New Roman"/>
                <w:sz w:val="18"/>
              </w:rPr>
            </w:pPr>
          </w:p>
        </w:tc>
        <w:tc>
          <w:tcPr>
            <w:tcW w:w="471" w:type="dxa"/>
          </w:tcPr>
          <w:p>
            <w:pPr>
              <w:pStyle w:val="TableParagraph"/>
              <w:spacing w:line="233" w:lineRule="exact"/>
              <w:ind w:left="30" w:right="25"/>
              <w:jc w:val="center"/>
              <w:rPr>
                <w:rFonts w:ascii="Bookman Old Style"/>
                <w:b w:val="0"/>
                <w:sz w:val="20"/>
              </w:rPr>
            </w:pPr>
            <w:r>
              <w:rPr>
                <w:rFonts w:ascii="Bookman Old Style"/>
                <w:b w:val="0"/>
                <w:w w:val="55"/>
                <w:sz w:val="20"/>
              </w:rPr>
              <w:t>20000</w:t>
            </w:r>
          </w:p>
        </w:tc>
        <w:tc>
          <w:tcPr>
            <w:tcW w:w="471" w:type="dxa"/>
          </w:tcPr>
          <w:p>
            <w:pPr>
              <w:pStyle w:val="TableParagraph"/>
              <w:spacing w:line="233" w:lineRule="exact"/>
              <w:ind w:left="29" w:right="25"/>
              <w:jc w:val="center"/>
              <w:rPr>
                <w:rFonts w:ascii="Bookman Old Style"/>
                <w:b w:val="0"/>
                <w:sz w:val="20"/>
              </w:rPr>
            </w:pPr>
            <w:r>
              <w:rPr>
                <w:rFonts w:ascii="Bookman Old Style"/>
                <w:b w:val="0"/>
                <w:w w:val="55"/>
                <w:sz w:val="20"/>
              </w:rPr>
              <w:t>15000</w:t>
            </w:r>
          </w:p>
        </w:tc>
        <w:tc>
          <w:tcPr>
            <w:tcW w:w="625" w:type="dxa"/>
          </w:tcPr>
          <w:p>
            <w:pPr>
              <w:pStyle w:val="TableParagraph"/>
              <w:rPr>
                <w:rFonts w:ascii="Times New Roman"/>
                <w:sz w:val="18"/>
              </w:rPr>
            </w:pPr>
          </w:p>
        </w:tc>
        <w:tc>
          <w:tcPr>
            <w:tcW w:w="603" w:type="dxa"/>
          </w:tcPr>
          <w:p>
            <w:pPr>
              <w:pStyle w:val="TableParagraph"/>
              <w:rPr>
                <w:rFonts w:ascii="Times New Roman"/>
                <w:sz w:val="18"/>
              </w:rPr>
            </w:pPr>
          </w:p>
        </w:tc>
        <w:tc>
          <w:tcPr>
            <w:tcW w:w="517" w:type="dxa"/>
          </w:tcPr>
          <w:p>
            <w:pPr>
              <w:pStyle w:val="TableParagraph"/>
              <w:spacing w:line="233" w:lineRule="exact"/>
              <w:ind w:left="112"/>
              <w:rPr>
                <w:rFonts w:ascii="Bookman Old Style"/>
                <w:b w:val="0"/>
                <w:sz w:val="20"/>
              </w:rPr>
            </w:pPr>
            <w:r>
              <w:rPr>
                <w:rFonts w:ascii="Bookman Old Style"/>
                <w:b w:val="0"/>
                <w:w w:val="60"/>
                <w:sz w:val="20"/>
              </w:rPr>
              <w:t>20000</w:t>
            </w:r>
          </w:p>
        </w:tc>
        <w:tc>
          <w:tcPr>
            <w:tcW w:w="517" w:type="dxa"/>
          </w:tcPr>
          <w:p>
            <w:pPr>
              <w:pStyle w:val="TableParagraph"/>
              <w:spacing w:line="233" w:lineRule="exact"/>
              <w:ind w:left="65" w:right="21"/>
              <w:jc w:val="center"/>
              <w:rPr>
                <w:rFonts w:ascii="Bookman Old Style"/>
                <w:b w:val="0"/>
                <w:sz w:val="20"/>
              </w:rPr>
            </w:pPr>
            <w:r>
              <w:rPr>
                <w:rFonts w:ascii="Bookman Old Style"/>
                <w:b w:val="0"/>
                <w:w w:val="60"/>
                <w:sz w:val="20"/>
              </w:rPr>
              <w:t>15000</w:t>
            </w:r>
          </w:p>
        </w:tc>
        <w:tc>
          <w:tcPr>
            <w:tcW w:w="613" w:type="dxa"/>
          </w:tcPr>
          <w:p>
            <w:pPr>
              <w:pStyle w:val="TableParagraph"/>
              <w:rPr>
                <w:rFonts w:ascii="Times New Roman"/>
                <w:sz w:val="18"/>
              </w:rPr>
            </w:pPr>
          </w:p>
        </w:tc>
        <w:tc>
          <w:tcPr>
            <w:tcW w:w="615" w:type="dxa"/>
          </w:tcPr>
          <w:p>
            <w:pPr>
              <w:pStyle w:val="TableParagraph"/>
              <w:rPr>
                <w:rFonts w:ascii="Times New Roman"/>
                <w:sz w:val="18"/>
              </w:rPr>
            </w:pPr>
          </w:p>
        </w:tc>
        <w:tc>
          <w:tcPr>
            <w:tcW w:w="495" w:type="dxa"/>
          </w:tcPr>
          <w:p>
            <w:pPr>
              <w:pStyle w:val="TableParagraph"/>
              <w:spacing w:line="233" w:lineRule="exact"/>
              <w:ind w:left="42" w:right="30"/>
              <w:jc w:val="center"/>
              <w:rPr>
                <w:rFonts w:ascii="Bookman Old Style"/>
                <w:b w:val="0"/>
                <w:sz w:val="20"/>
              </w:rPr>
            </w:pPr>
            <w:r>
              <w:rPr>
                <w:rFonts w:ascii="Bookman Old Style"/>
                <w:b w:val="0"/>
                <w:w w:val="60"/>
                <w:sz w:val="20"/>
              </w:rPr>
              <w:t>20000</w:t>
            </w:r>
          </w:p>
        </w:tc>
        <w:tc>
          <w:tcPr>
            <w:tcW w:w="517" w:type="dxa"/>
          </w:tcPr>
          <w:p>
            <w:pPr>
              <w:pStyle w:val="TableParagraph"/>
              <w:spacing w:line="233" w:lineRule="exact"/>
              <w:ind w:left="62" w:right="25"/>
              <w:jc w:val="center"/>
              <w:rPr>
                <w:rFonts w:ascii="Bookman Old Style"/>
                <w:b w:val="0"/>
                <w:sz w:val="20"/>
              </w:rPr>
            </w:pPr>
            <w:r>
              <w:rPr>
                <w:rFonts w:ascii="Bookman Old Style"/>
                <w:b w:val="0"/>
                <w:w w:val="60"/>
                <w:sz w:val="20"/>
              </w:rPr>
              <w:t>15000</w:t>
            </w:r>
          </w:p>
        </w:tc>
        <w:tc>
          <w:tcPr>
            <w:tcW w:w="532" w:type="dxa"/>
          </w:tcPr>
          <w:p>
            <w:pPr>
              <w:pStyle w:val="TableParagraph"/>
              <w:rPr>
                <w:rFonts w:ascii="Times New Roman"/>
                <w:sz w:val="18"/>
              </w:rPr>
            </w:pPr>
          </w:p>
        </w:tc>
        <w:tc>
          <w:tcPr>
            <w:tcW w:w="589" w:type="dxa"/>
          </w:tcPr>
          <w:p>
            <w:pPr>
              <w:pStyle w:val="TableParagraph"/>
              <w:rPr>
                <w:rFonts w:ascii="Times New Roman"/>
                <w:sz w:val="18"/>
              </w:rPr>
            </w:pPr>
          </w:p>
        </w:tc>
        <w:tc>
          <w:tcPr>
            <w:tcW w:w="517" w:type="dxa"/>
          </w:tcPr>
          <w:p>
            <w:pPr>
              <w:pStyle w:val="TableParagraph"/>
              <w:spacing w:line="233" w:lineRule="exact"/>
              <w:ind w:right="71"/>
              <w:jc w:val="right"/>
              <w:rPr>
                <w:rFonts w:ascii="Bookman Old Style"/>
                <w:b w:val="0"/>
                <w:sz w:val="20"/>
              </w:rPr>
            </w:pPr>
            <w:r>
              <w:rPr>
                <w:rFonts w:ascii="Bookman Old Style"/>
                <w:b w:val="0"/>
                <w:w w:val="50"/>
                <w:sz w:val="20"/>
              </w:rPr>
              <w:t>20000</w:t>
            </w:r>
          </w:p>
        </w:tc>
        <w:tc>
          <w:tcPr>
            <w:tcW w:w="495" w:type="dxa"/>
          </w:tcPr>
          <w:p>
            <w:pPr>
              <w:pStyle w:val="TableParagraph"/>
              <w:spacing w:line="233" w:lineRule="exact"/>
              <w:ind w:right="74"/>
              <w:jc w:val="right"/>
              <w:rPr>
                <w:rFonts w:ascii="Bookman Old Style"/>
                <w:b w:val="0"/>
                <w:sz w:val="20"/>
              </w:rPr>
            </w:pPr>
            <w:r>
              <w:rPr>
                <w:rFonts w:ascii="Bookman Old Style"/>
                <w:b w:val="0"/>
                <w:w w:val="50"/>
                <w:sz w:val="20"/>
              </w:rPr>
              <w:t>15000</w:t>
            </w:r>
          </w:p>
        </w:tc>
        <w:tc>
          <w:tcPr>
            <w:tcW w:w="565" w:type="dxa"/>
          </w:tcPr>
          <w:p>
            <w:pPr>
              <w:pStyle w:val="TableParagraph"/>
              <w:rPr>
                <w:rFonts w:ascii="Times New Roman"/>
                <w:sz w:val="18"/>
              </w:rPr>
            </w:pPr>
          </w:p>
        </w:tc>
        <w:tc>
          <w:tcPr>
            <w:tcW w:w="664" w:type="dxa"/>
          </w:tcPr>
          <w:p>
            <w:pPr>
              <w:pStyle w:val="TableParagraph"/>
              <w:rPr>
                <w:rFonts w:ascii="Times New Roman"/>
                <w:sz w:val="18"/>
              </w:rPr>
            </w:pPr>
          </w:p>
        </w:tc>
        <w:tc>
          <w:tcPr>
            <w:tcW w:w="1016" w:type="dxa"/>
          </w:tcPr>
          <w:p>
            <w:pPr>
              <w:pStyle w:val="TableParagraph"/>
              <w:spacing w:before="5"/>
              <w:ind w:right="74"/>
              <w:jc w:val="right"/>
              <w:rPr>
                <w:rFonts w:ascii="Times New Roman"/>
                <w:b/>
                <w:sz w:val="20"/>
              </w:rPr>
            </w:pPr>
            <w:r>
              <w:rPr>
                <w:rFonts w:ascii="Times New Roman"/>
                <w:b/>
                <w:w w:val="65"/>
                <w:sz w:val="20"/>
              </w:rPr>
              <w:t>175000</w:t>
            </w:r>
          </w:p>
        </w:tc>
      </w:tr>
      <w:tr>
        <w:trPr>
          <w:trHeight w:val="374"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41</w:t>
            </w:r>
          </w:p>
        </w:tc>
        <w:tc>
          <w:tcPr>
            <w:tcW w:w="516" w:type="dxa"/>
          </w:tcPr>
          <w:p>
            <w:pPr>
              <w:pStyle w:val="TableParagraph"/>
              <w:rPr>
                <w:rFonts w:ascii="Times New Roman"/>
                <w:sz w:val="18"/>
              </w:rPr>
            </w:pPr>
          </w:p>
        </w:tc>
        <w:tc>
          <w:tcPr>
            <w:tcW w:w="552" w:type="dxa"/>
          </w:tcPr>
          <w:p>
            <w:pPr>
              <w:pStyle w:val="TableParagraph"/>
              <w:rPr>
                <w:rFonts w:ascii="Times New Roman"/>
                <w:sz w:val="18"/>
              </w:rPr>
            </w:pPr>
          </w:p>
        </w:tc>
        <w:tc>
          <w:tcPr>
            <w:tcW w:w="613" w:type="dxa"/>
          </w:tcPr>
          <w:p>
            <w:pPr>
              <w:pStyle w:val="TableParagraph"/>
              <w:rPr>
                <w:rFonts w:ascii="Times New Roman"/>
                <w:sz w:val="18"/>
              </w:rPr>
            </w:pPr>
          </w:p>
        </w:tc>
        <w:tc>
          <w:tcPr>
            <w:tcW w:w="629" w:type="dxa"/>
          </w:tcPr>
          <w:p>
            <w:pPr>
              <w:pStyle w:val="TableParagraph"/>
              <w:rPr>
                <w:rFonts w:ascii="Times New Roman"/>
                <w:sz w:val="18"/>
              </w:rPr>
            </w:pPr>
          </w:p>
        </w:tc>
        <w:tc>
          <w:tcPr>
            <w:tcW w:w="471" w:type="dxa"/>
          </w:tcPr>
          <w:p>
            <w:pPr>
              <w:pStyle w:val="TableParagraph"/>
              <w:rPr>
                <w:rFonts w:ascii="Times New Roman"/>
                <w:sz w:val="18"/>
              </w:rPr>
            </w:pPr>
          </w:p>
        </w:tc>
        <w:tc>
          <w:tcPr>
            <w:tcW w:w="471" w:type="dxa"/>
          </w:tcPr>
          <w:p>
            <w:pPr>
              <w:pStyle w:val="TableParagraph"/>
              <w:spacing w:line="233" w:lineRule="exact"/>
              <w:ind w:left="29" w:right="25"/>
              <w:jc w:val="center"/>
              <w:rPr>
                <w:rFonts w:ascii="Bookman Old Style"/>
                <w:b w:val="0"/>
                <w:sz w:val="20"/>
              </w:rPr>
            </w:pPr>
            <w:r>
              <w:rPr>
                <w:rFonts w:ascii="Bookman Old Style"/>
                <w:b w:val="0"/>
                <w:w w:val="55"/>
                <w:sz w:val="20"/>
              </w:rPr>
              <w:t>15000</w:t>
            </w:r>
          </w:p>
        </w:tc>
        <w:tc>
          <w:tcPr>
            <w:tcW w:w="625" w:type="dxa"/>
          </w:tcPr>
          <w:p>
            <w:pPr>
              <w:pStyle w:val="TableParagraph"/>
              <w:rPr>
                <w:rFonts w:ascii="Times New Roman"/>
                <w:sz w:val="18"/>
              </w:rPr>
            </w:pPr>
          </w:p>
        </w:tc>
        <w:tc>
          <w:tcPr>
            <w:tcW w:w="603" w:type="dxa"/>
          </w:tcPr>
          <w:p>
            <w:pPr>
              <w:pStyle w:val="TableParagraph"/>
              <w:rPr>
                <w:rFonts w:ascii="Times New Roman"/>
                <w:sz w:val="18"/>
              </w:rPr>
            </w:pPr>
          </w:p>
        </w:tc>
        <w:tc>
          <w:tcPr>
            <w:tcW w:w="517" w:type="dxa"/>
          </w:tcPr>
          <w:p>
            <w:pPr>
              <w:pStyle w:val="TableParagraph"/>
              <w:rPr>
                <w:rFonts w:ascii="Times New Roman"/>
                <w:sz w:val="18"/>
              </w:rPr>
            </w:pPr>
          </w:p>
        </w:tc>
        <w:tc>
          <w:tcPr>
            <w:tcW w:w="517" w:type="dxa"/>
          </w:tcPr>
          <w:p>
            <w:pPr>
              <w:pStyle w:val="TableParagraph"/>
              <w:rPr>
                <w:rFonts w:ascii="Times New Roman"/>
                <w:sz w:val="18"/>
              </w:rPr>
            </w:pPr>
          </w:p>
        </w:tc>
        <w:tc>
          <w:tcPr>
            <w:tcW w:w="613" w:type="dxa"/>
          </w:tcPr>
          <w:p>
            <w:pPr>
              <w:pStyle w:val="TableParagraph"/>
              <w:rPr>
                <w:rFonts w:ascii="Times New Roman"/>
                <w:sz w:val="18"/>
              </w:rPr>
            </w:pPr>
          </w:p>
        </w:tc>
        <w:tc>
          <w:tcPr>
            <w:tcW w:w="615" w:type="dxa"/>
          </w:tcPr>
          <w:p>
            <w:pPr>
              <w:pStyle w:val="TableParagraph"/>
              <w:rPr>
                <w:rFonts w:ascii="Times New Roman"/>
                <w:sz w:val="18"/>
              </w:rPr>
            </w:pPr>
          </w:p>
        </w:tc>
        <w:tc>
          <w:tcPr>
            <w:tcW w:w="495" w:type="dxa"/>
          </w:tcPr>
          <w:p>
            <w:pPr>
              <w:pStyle w:val="TableParagraph"/>
              <w:rPr>
                <w:rFonts w:ascii="Times New Roman"/>
                <w:sz w:val="18"/>
              </w:rPr>
            </w:pPr>
          </w:p>
        </w:tc>
        <w:tc>
          <w:tcPr>
            <w:tcW w:w="517" w:type="dxa"/>
          </w:tcPr>
          <w:p>
            <w:pPr>
              <w:pStyle w:val="TableParagraph"/>
              <w:spacing w:line="233" w:lineRule="exact"/>
              <w:ind w:left="62" w:right="25"/>
              <w:jc w:val="center"/>
              <w:rPr>
                <w:rFonts w:ascii="Bookman Old Style"/>
                <w:b w:val="0"/>
                <w:sz w:val="20"/>
              </w:rPr>
            </w:pPr>
            <w:r>
              <w:rPr>
                <w:rFonts w:ascii="Bookman Old Style"/>
                <w:b w:val="0"/>
                <w:w w:val="60"/>
                <w:sz w:val="20"/>
              </w:rPr>
              <w:t>15000</w:t>
            </w:r>
          </w:p>
        </w:tc>
        <w:tc>
          <w:tcPr>
            <w:tcW w:w="532" w:type="dxa"/>
          </w:tcPr>
          <w:p>
            <w:pPr>
              <w:pStyle w:val="TableParagraph"/>
              <w:rPr>
                <w:rFonts w:ascii="Times New Roman"/>
                <w:sz w:val="18"/>
              </w:rPr>
            </w:pPr>
          </w:p>
        </w:tc>
        <w:tc>
          <w:tcPr>
            <w:tcW w:w="589" w:type="dxa"/>
          </w:tcPr>
          <w:p>
            <w:pPr>
              <w:pStyle w:val="TableParagraph"/>
              <w:rPr>
                <w:rFonts w:ascii="Times New Roman"/>
                <w:sz w:val="18"/>
              </w:rPr>
            </w:pPr>
          </w:p>
        </w:tc>
        <w:tc>
          <w:tcPr>
            <w:tcW w:w="517" w:type="dxa"/>
          </w:tcPr>
          <w:p>
            <w:pPr>
              <w:pStyle w:val="TableParagraph"/>
              <w:rPr>
                <w:rFonts w:ascii="Times New Roman"/>
                <w:sz w:val="18"/>
              </w:rPr>
            </w:pPr>
          </w:p>
        </w:tc>
        <w:tc>
          <w:tcPr>
            <w:tcW w:w="495" w:type="dxa"/>
          </w:tcPr>
          <w:p>
            <w:pPr>
              <w:pStyle w:val="TableParagraph"/>
              <w:rPr>
                <w:rFonts w:ascii="Times New Roman"/>
                <w:sz w:val="18"/>
              </w:rPr>
            </w:pPr>
          </w:p>
        </w:tc>
        <w:tc>
          <w:tcPr>
            <w:tcW w:w="565" w:type="dxa"/>
          </w:tcPr>
          <w:p>
            <w:pPr>
              <w:pStyle w:val="TableParagraph"/>
              <w:rPr>
                <w:rFonts w:ascii="Times New Roman"/>
                <w:sz w:val="18"/>
              </w:rPr>
            </w:pP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10000</w:t>
            </w:r>
          </w:p>
        </w:tc>
        <w:tc>
          <w:tcPr>
            <w:tcW w:w="1016" w:type="dxa"/>
          </w:tcPr>
          <w:p>
            <w:pPr>
              <w:pStyle w:val="TableParagraph"/>
              <w:spacing w:before="5"/>
              <w:ind w:right="74"/>
              <w:jc w:val="right"/>
              <w:rPr>
                <w:rFonts w:ascii="Times New Roman"/>
                <w:b/>
                <w:sz w:val="20"/>
              </w:rPr>
            </w:pPr>
            <w:r>
              <w:rPr>
                <w:rFonts w:ascii="Times New Roman"/>
                <w:b/>
                <w:w w:val="65"/>
                <w:sz w:val="20"/>
              </w:rPr>
              <w:t>40000</w:t>
            </w:r>
          </w:p>
        </w:tc>
      </w:tr>
      <w:tr>
        <w:trPr>
          <w:trHeight w:val="405" w:hRule="atLeast"/>
        </w:trPr>
        <w:tc>
          <w:tcPr>
            <w:tcW w:w="1054" w:type="dxa"/>
            <w:vMerge w:val="restart"/>
          </w:tcPr>
          <w:p>
            <w:pPr>
              <w:pStyle w:val="TableParagraph"/>
              <w:spacing w:line="209" w:lineRule="exact"/>
              <w:ind w:left="69"/>
              <w:rPr>
                <w:rFonts w:ascii="Bookman Old Style"/>
                <w:b w:val="0"/>
                <w:sz w:val="18"/>
              </w:rPr>
            </w:pPr>
            <w:r>
              <w:rPr>
                <w:rFonts w:ascii="Bookman Old Style"/>
                <w:b w:val="0"/>
                <w:w w:val="65"/>
                <w:sz w:val="18"/>
              </w:rPr>
              <w:t>R.13.</w:t>
            </w: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42</w:t>
            </w:r>
          </w:p>
        </w:tc>
        <w:tc>
          <w:tcPr>
            <w:tcW w:w="516" w:type="dxa"/>
          </w:tcPr>
          <w:p>
            <w:pPr>
              <w:pStyle w:val="TableParagraph"/>
              <w:rPr>
                <w:rFonts w:ascii="Times New Roman"/>
                <w:sz w:val="18"/>
              </w:rPr>
            </w:pPr>
          </w:p>
        </w:tc>
        <w:tc>
          <w:tcPr>
            <w:tcW w:w="552" w:type="dxa"/>
          </w:tcPr>
          <w:p>
            <w:pPr>
              <w:pStyle w:val="TableParagraph"/>
              <w:spacing w:line="233" w:lineRule="exact"/>
              <w:ind w:left="218"/>
              <w:rPr>
                <w:rFonts w:ascii="Bookman Old Style"/>
                <w:b w:val="0"/>
                <w:sz w:val="20"/>
              </w:rPr>
            </w:pPr>
            <w:r>
              <w:rPr>
                <w:rFonts w:ascii="Bookman Old Style"/>
                <w:b w:val="0"/>
                <w:w w:val="60"/>
                <w:sz w:val="20"/>
              </w:rPr>
              <w:t>3000</w:t>
            </w:r>
          </w:p>
        </w:tc>
        <w:tc>
          <w:tcPr>
            <w:tcW w:w="613" w:type="dxa"/>
          </w:tcPr>
          <w:p>
            <w:pPr>
              <w:pStyle w:val="TableParagraph"/>
              <w:spacing w:line="233" w:lineRule="exact"/>
              <w:ind w:right="60"/>
              <w:jc w:val="right"/>
              <w:rPr>
                <w:rFonts w:ascii="Bookman Old Style"/>
                <w:b w:val="0"/>
                <w:sz w:val="20"/>
              </w:rPr>
            </w:pPr>
            <w:r>
              <w:rPr>
                <w:rFonts w:ascii="Bookman Old Style"/>
                <w:b w:val="0"/>
                <w:w w:val="50"/>
                <w:sz w:val="20"/>
              </w:rPr>
              <w:t>3000</w:t>
            </w:r>
          </w:p>
        </w:tc>
        <w:tc>
          <w:tcPr>
            <w:tcW w:w="629" w:type="dxa"/>
          </w:tcPr>
          <w:p>
            <w:pPr>
              <w:pStyle w:val="TableParagraph"/>
              <w:spacing w:line="233" w:lineRule="exact"/>
              <w:ind w:right="62"/>
              <w:jc w:val="right"/>
              <w:rPr>
                <w:rFonts w:ascii="Bookman Old Style"/>
                <w:b w:val="0"/>
                <w:sz w:val="20"/>
              </w:rPr>
            </w:pPr>
            <w:r>
              <w:rPr>
                <w:rFonts w:ascii="Bookman Old Style"/>
                <w:b w:val="0"/>
                <w:w w:val="50"/>
                <w:sz w:val="20"/>
              </w:rPr>
              <w:t>3000</w:t>
            </w:r>
          </w:p>
        </w:tc>
        <w:tc>
          <w:tcPr>
            <w:tcW w:w="471" w:type="dxa"/>
          </w:tcPr>
          <w:p>
            <w:pPr>
              <w:pStyle w:val="TableParagraph"/>
              <w:spacing w:line="233" w:lineRule="exact"/>
              <w:ind w:left="97" w:right="24"/>
              <w:jc w:val="center"/>
              <w:rPr>
                <w:rFonts w:ascii="Bookman Old Style"/>
                <w:b w:val="0"/>
                <w:sz w:val="20"/>
              </w:rPr>
            </w:pPr>
            <w:r>
              <w:rPr>
                <w:rFonts w:ascii="Bookman Old Style"/>
                <w:b w:val="0"/>
                <w:w w:val="60"/>
                <w:sz w:val="20"/>
              </w:rPr>
              <w:t>3000</w:t>
            </w:r>
          </w:p>
        </w:tc>
        <w:tc>
          <w:tcPr>
            <w:tcW w:w="471" w:type="dxa"/>
          </w:tcPr>
          <w:p>
            <w:pPr>
              <w:pStyle w:val="TableParagraph"/>
              <w:spacing w:line="233" w:lineRule="exact"/>
              <w:ind w:left="96" w:right="25"/>
              <w:jc w:val="center"/>
              <w:rPr>
                <w:rFonts w:ascii="Bookman Old Style"/>
                <w:b w:val="0"/>
                <w:sz w:val="20"/>
              </w:rPr>
            </w:pPr>
            <w:r>
              <w:rPr>
                <w:rFonts w:ascii="Bookman Old Style"/>
                <w:b w:val="0"/>
                <w:w w:val="60"/>
                <w:sz w:val="20"/>
              </w:rPr>
              <w:t>3000</w:t>
            </w:r>
          </w:p>
        </w:tc>
        <w:tc>
          <w:tcPr>
            <w:tcW w:w="625" w:type="dxa"/>
          </w:tcPr>
          <w:p>
            <w:pPr>
              <w:pStyle w:val="TableParagraph"/>
              <w:spacing w:line="233" w:lineRule="exact"/>
              <w:ind w:right="62"/>
              <w:jc w:val="right"/>
              <w:rPr>
                <w:rFonts w:ascii="Bookman Old Style"/>
                <w:b w:val="0"/>
                <w:sz w:val="20"/>
              </w:rPr>
            </w:pPr>
            <w:r>
              <w:rPr>
                <w:rFonts w:ascii="Bookman Old Style"/>
                <w:b w:val="0"/>
                <w:w w:val="50"/>
                <w:sz w:val="20"/>
              </w:rPr>
              <w:t>3000</w:t>
            </w: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3000</w:t>
            </w:r>
          </w:p>
        </w:tc>
        <w:tc>
          <w:tcPr>
            <w:tcW w:w="517" w:type="dxa"/>
          </w:tcPr>
          <w:p>
            <w:pPr>
              <w:pStyle w:val="TableParagraph"/>
              <w:spacing w:line="233" w:lineRule="exact"/>
              <w:ind w:left="179"/>
              <w:rPr>
                <w:rFonts w:ascii="Bookman Old Style"/>
                <w:b w:val="0"/>
                <w:sz w:val="20"/>
              </w:rPr>
            </w:pPr>
            <w:r>
              <w:rPr>
                <w:rFonts w:ascii="Bookman Old Style"/>
                <w:b w:val="0"/>
                <w:w w:val="60"/>
                <w:sz w:val="20"/>
              </w:rPr>
              <w:t>3000</w:t>
            </w:r>
          </w:p>
        </w:tc>
        <w:tc>
          <w:tcPr>
            <w:tcW w:w="517" w:type="dxa"/>
          </w:tcPr>
          <w:p>
            <w:pPr>
              <w:pStyle w:val="TableParagraph"/>
              <w:spacing w:line="233" w:lineRule="exact"/>
              <w:ind w:left="136" w:right="25"/>
              <w:jc w:val="center"/>
              <w:rPr>
                <w:rFonts w:ascii="Bookman Old Style"/>
                <w:b w:val="0"/>
                <w:sz w:val="20"/>
              </w:rPr>
            </w:pPr>
            <w:r>
              <w:rPr>
                <w:rFonts w:ascii="Bookman Old Style"/>
                <w:b w:val="0"/>
                <w:w w:val="60"/>
                <w:sz w:val="20"/>
              </w:rPr>
              <w:t>3000</w:t>
            </w:r>
          </w:p>
        </w:tc>
        <w:tc>
          <w:tcPr>
            <w:tcW w:w="613" w:type="dxa"/>
          </w:tcPr>
          <w:p>
            <w:pPr>
              <w:pStyle w:val="TableParagraph"/>
              <w:spacing w:line="233" w:lineRule="exact"/>
              <w:ind w:right="65"/>
              <w:jc w:val="right"/>
              <w:rPr>
                <w:rFonts w:ascii="Bookman Old Style"/>
                <w:b w:val="0"/>
                <w:sz w:val="20"/>
              </w:rPr>
            </w:pPr>
            <w:r>
              <w:rPr>
                <w:rFonts w:ascii="Bookman Old Style"/>
                <w:b w:val="0"/>
                <w:w w:val="50"/>
                <w:sz w:val="20"/>
              </w:rPr>
              <w:t>3000</w:t>
            </w:r>
          </w:p>
        </w:tc>
        <w:tc>
          <w:tcPr>
            <w:tcW w:w="615" w:type="dxa"/>
          </w:tcPr>
          <w:p>
            <w:pPr>
              <w:pStyle w:val="TableParagraph"/>
              <w:spacing w:line="233" w:lineRule="exact"/>
              <w:ind w:right="66"/>
              <w:jc w:val="right"/>
              <w:rPr>
                <w:rFonts w:ascii="Bookman Old Style"/>
                <w:b w:val="0"/>
                <w:sz w:val="20"/>
              </w:rPr>
            </w:pPr>
            <w:r>
              <w:rPr>
                <w:rFonts w:ascii="Bookman Old Style"/>
                <w:b w:val="0"/>
                <w:w w:val="50"/>
                <w:sz w:val="20"/>
              </w:rPr>
              <w:t>3000</w:t>
            </w:r>
          </w:p>
        </w:tc>
        <w:tc>
          <w:tcPr>
            <w:tcW w:w="495" w:type="dxa"/>
          </w:tcPr>
          <w:p>
            <w:pPr>
              <w:pStyle w:val="TableParagraph"/>
              <w:spacing w:line="233" w:lineRule="exact"/>
              <w:ind w:left="110" w:right="30"/>
              <w:jc w:val="center"/>
              <w:rPr>
                <w:rFonts w:ascii="Bookman Old Style"/>
                <w:b w:val="0"/>
                <w:sz w:val="20"/>
              </w:rPr>
            </w:pPr>
            <w:r>
              <w:rPr>
                <w:rFonts w:ascii="Bookman Old Style"/>
                <w:b w:val="0"/>
                <w:w w:val="60"/>
                <w:sz w:val="20"/>
              </w:rPr>
              <w:t>3000</w:t>
            </w:r>
          </w:p>
        </w:tc>
        <w:tc>
          <w:tcPr>
            <w:tcW w:w="517" w:type="dxa"/>
          </w:tcPr>
          <w:p>
            <w:pPr>
              <w:pStyle w:val="TableParagraph"/>
              <w:spacing w:line="233" w:lineRule="exact"/>
              <w:ind w:left="130" w:right="25"/>
              <w:jc w:val="center"/>
              <w:rPr>
                <w:rFonts w:ascii="Bookman Old Style"/>
                <w:b w:val="0"/>
                <w:sz w:val="20"/>
              </w:rPr>
            </w:pPr>
            <w:r>
              <w:rPr>
                <w:rFonts w:ascii="Bookman Old Style"/>
                <w:b w:val="0"/>
                <w:w w:val="60"/>
                <w:sz w:val="20"/>
              </w:rPr>
              <w:t>3000</w:t>
            </w:r>
          </w:p>
        </w:tc>
        <w:tc>
          <w:tcPr>
            <w:tcW w:w="532" w:type="dxa"/>
          </w:tcPr>
          <w:p>
            <w:pPr>
              <w:pStyle w:val="TableParagraph"/>
              <w:spacing w:line="233" w:lineRule="exact"/>
              <w:ind w:right="68"/>
              <w:jc w:val="right"/>
              <w:rPr>
                <w:rFonts w:ascii="Bookman Old Style"/>
                <w:b w:val="0"/>
                <w:sz w:val="20"/>
              </w:rPr>
            </w:pPr>
            <w:r>
              <w:rPr>
                <w:rFonts w:ascii="Bookman Old Style"/>
                <w:b w:val="0"/>
                <w:w w:val="50"/>
                <w:sz w:val="20"/>
              </w:rPr>
              <w:t>3000</w:t>
            </w:r>
          </w:p>
        </w:tc>
        <w:tc>
          <w:tcPr>
            <w:tcW w:w="589" w:type="dxa"/>
          </w:tcPr>
          <w:p>
            <w:pPr>
              <w:pStyle w:val="TableParagraph"/>
              <w:spacing w:line="233" w:lineRule="exact"/>
              <w:ind w:right="69"/>
              <w:jc w:val="right"/>
              <w:rPr>
                <w:rFonts w:ascii="Bookman Old Style"/>
                <w:b w:val="0"/>
                <w:sz w:val="20"/>
              </w:rPr>
            </w:pPr>
            <w:r>
              <w:rPr>
                <w:rFonts w:ascii="Bookman Old Style"/>
                <w:b w:val="0"/>
                <w:w w:val="50"/>
                <w:sz w:val="20"/>
              </w:rPr>
              <w:t>3000</w:t>
            </w:r>
          </w:p>
        </w:tc>
        <w:tc>
          <w:tcPr>
            <w:tcW w:w="517" w:type="dxa"/>
          </w:tcPr>
          <w:p>
            <w:pPr>
              <w:pStyle w:val="TableParagraph"/>
              <w:spacing w:line="233" w:lineRule="exact"/>
              <w:ind w:right="70"/>
              <w:jc w:val="right"/>
              <w:rPr>
                <w:rFonts w:ascii="Bookman Old Style"/>
                <w:b w:val="0"/>
                <w:sz w:val="20"/>
              </w:rPr>
            </w:pPr>
            <w:r>
              <w:rPr>
                <w:rFonts w:ascii="Bookman Old Style"/>
                <w:b w:val="0"/>
                <w:w w:val="50"/>
                <w:sz w:val="20"/>
              </w:rPr>
              <w:t>3000</w:t>
            </w:r>
          </w:p>
        </w:tc>
        <w:tc>
          <w:tcPr>
            <w:tcW w:w="495" w:type="dxa"/>
          </w:tcPr>
          <w:p>
            <w:pPr>
              <w:pStyle w:val="TableParagraph"/>
              <w:spacing w:line="233" w:lineRule="exact"/>
              <w:ind w:right="73"/>
              <w:jc w:val="right"/>
              <w:rPr>
                <w:rFonts w:ascii="Bookman Old Style"/>
                <w:b w:val="0"/>
                <w:sz w:val="20"/>
              </w:rPr>
            </w:pPr>
            <w:r>
              <w:rPr>
                <w:rFonts w:ascii="Bookman Old Style"/>
                <w:b w:val="0"/>
                <w:w w:val="50"/>
                <w:sz w:val="20"/>
              </w:rPr>
              <w:t>3000</w:t>
            </w:r>
          </w:p>
        </w:tc>
        <w:tc>
          <w:tcPr>
            <w:tcW w:w="565" w:type="dxa"/>
          </w:tcPr>
          <w:p>
            <w:pPr>
              <w:pStyle w:val="TableParagraph"/>
              <w:spacing w:line="233" w:lineRule="exact"/>
              <w:ind w:right="72"/>
              <w:jc w:val="right"/>
              <w:rPr>
                <w:rFonts w:ascii="Bookman Old Style"/>
                <w:b w:val="0"/>
                <w:sz w:val="20"/>
              </w:rPr>
            </w:pPr>
            <w:r>
              <w:rPr>
                <w:rFonts w:ascii="Bookman Old Style"/>
                <w:b w:val="0"/>
                <w:w w:val="50"/>
                <w:sz w:val="20"/>
              </w:rPr>
              <w:t>3000</w:t>
            </w: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3000</w:t>
            </w:r>
          </w:p>
        </w:tc>
        <w:tc>
          <w:tcPr>
            <w:tcW w:w="1016" w:type="dxa"/>
          </w:tcPr>
          <w:p>
            <w:pPr>
              <w:pStyle w:val="TableParagraph"/>
              <w:spacing w:before="5"/>
              <w:ind w:right="74"/>
              <w:jc w:val="right"/>
              <w:rPr>
                <w:rFonts w:ascii="Times New Roman"/>
                <w:b/>
                <w:sz w:val="20"/>
              </w:rPr>
            </w:pPr>
            <w:r>
              <w:rPr>
                <w:rFonts w:ascii="Times New Roman"/>
                <w:b/>
                <w:w w:val="65"/>
                <w:sz w:val="20"/>
              </w:rPr>
              <w:t>57000</w:t>
            </w:r>
          </w:p>
        </w:tc>
      </w:tr>
      <w:tr>
        <w:trPr>
          <w:trHeight w:val="405"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43</w:t>
            </w:r>
          </w:p>
        </w:tc>
        <w:tc>
          <w:tcPr>
            <w:tcW w:w="516" w:type="dxa"/>
          </w:tcPr>
          <w:p>
            <w:pPr>
              <w:pStyle w:val="TableParagraph"/>
              <w:spacing w:line="233" w:lineRule="exact"/>
              <w:ind w:right="59"/>
              <w:jc w:val="right"/>
              <w:rPr>
                <w:rFonts w:ascii="Bookman Old Style"/>
                <w:b w:val="0"/>
                <w:sz w:val="20"/>
              </w:rPr>
            </w:pPr>
            <w:r>
              <w:rPr>
                <w:rFonts w:ascii="Bookman Old Style"/>
                <w:b w:val="0"/>
                <w:w w:val="50"/>
                <w:sz w:val="20"/>
              </w:rPr>
              <w:t>6000</w:t>
            </w:r>
          </w:p>
        </w:tc>
        <w:tc>
          <w:tcPr>
            <w:tcW w:w="552" w:type="dxa"/>
          </w:tcPr>
          <w:p>
            <w:pPr>
              <w:pStyle w:val="TableParagraph"/>
              <w:rPr>
                <w:rFonts w:ascii="Times New Roman"/>
                <w:sz w:val="18"/>
              </w:rPr>
            </w:pPr>
          </w:p>
        </w:tc>
        <w:tc>
          <w:tcPr>
            <w:tcW w:w="613" w:type="dxa"/>
          </w:tcPr>
          <w:p>
            <w:pPr>
              <w:pStyle w:val="TableParagraph"/>
              <w:rPr>
                <w:rFonts w:ascii="Times New Roman"/>
                <w:sz w:val="18"/>
              </w:rPr>
            </w:pPr>
          </w:p>
        </w:tc>
        <w:tc>
          <w:tcPr>
            <w:tcW w:w="629" w:type="dxa"/>
          </w:tcPr>
          <w:p>
            <w:pPr>
              <w:pStyle w:val="TableParagraph"/>
              <w:rPr>
                <w:rFonts w:ascii="Times New Roman"/>
                <w:sz w:val="18"/>
              </w:rPr>
            </w:pPr>
          </w:p>
        </w:tc>
        <w:tc>
          <w:tcPr>
            <w:tcW w:w="471" w:type="dxa"/>
          </w:tcPr>
          <w:p>
            <w:pPr>
              <w:pStyle w:val="TableParagraph"/>
              <w:spacing w:line="233" w:lineRule="exact"/>
              <w:ind w:left="97" w:right="24"/>
              <w:jc w:val="center"/>
              <w:rPr>
                <w:rFonts w:ascii="Bookman Old Style"/>
                <w:b w:val="0"/>
                <w:sz w:val="20"/>
              </w:rPr>
            </w:pPr>
            <w:r>
              <w:rPr>
                <w:rFonts w:ascii="Bookman Old Style"/>
                <w:b w:val="0"/>
                <w:w w:val="60"/>
                <w:sz w:val="20"/>
              </w:rPr>
              <w:t>6000</w:t>
            </w:r>
          </w:p>
        </w:tc>
        <w:tc>
          <w:tcPr>
            <w:tcW w:w="471" w:type="dxa"/>
          </w:tcPr>
          <w:p>
            <w:pPr>
              <w:pStyle w:val="TableParagraph"/>
              <w:rPr>
                <w:rFonts w:ascii="Times New Roman"/>
                <w:sz w:val="18"/>
              </w:rPr>
            </w:pPr>
          </w:p>
        </w:tc>
        <w:tc>
          <w:tcPr>
            <w:tcW w:w="625" w:type="dxa"/>
          </w:tcPr>
          <w:p>
            <w:pPr>
              <w:pStyle w:val="TableParagraph"/>
              <w:rPr>
                <w:rFonts w:ascii="Times New Roman"/>
                <w:sz w:val="18"/>
              </w:rPr>
            </w:pPr>
          </w:p>
        </w:tc>
        <w:tc>
          <w:tcPr>
            <w:tcW w:w="603" w:type="dxa"/>
          </w:tcPr>
          <w:p>
            <w:pPr>
              <w:pStyle w:val="TableParagraph"/>
              <w:rPr>
                <w:rFonts w:ascii="Times New Roman"/>
                <w:sz w:val="18"/>
              </w:rPr>
            </w:pPr>
          </w:p>
        </w:tc>
        <w:tc>
          <w:tcPr>
            <w:tcW w:w="517" w:type="dxa"/>
          </w:tcPr>
          <w:p>
            <w:pPr>
              <w:pStyle w:val="TableParagraph"/>
              <w:spacing w:line="233" w:lineRule="exact"/>
              <w:ind w:left="179"/>
              <w:rPr>
                <w:rFonts w:ascii="Bookman Old Style"/>
                <w:b w:val="0"/>
                <w:sz w:val="20"/>
              </w:rPr>
            </w:pPr>
            <w:r>
              <w:rPr>
                <w:rFonts w:ascii="Bookman Old Style"/>
                <w:b w:val="0"/>
                <w:w w:val="60"/>
                <w:sz w:val="20"/>
              </w:rPr>
              <w:t>6000</w:t>
            </w:r>
          </w:p>
        </w:tc>
        <w:tc>
          <w:tcPr>
            <w:tcW w:w="517" w:type="dxa"/>
          </w:tcPr>
          <w:p>
            <w:pPr>
              <w:pStyle w:val="TableParagraph"/>
              <w:rPr>
                <w:rFonts w:ascii="Times New Roman"/>
                <w:sz w:val="18"/>
              </w:rPr>
            </w:pPr>
          </w:p>
        </w:tc>
        <w:tc>
          <w:tcPr>
            <w:tcW w:w="613" w:type="dxa"/>
          </w:tcPr>
          <w:p>
            <w:pPr>
              <w:pStyle w:val="TableParagraph"/>
              <w:rPr>
                <w:rFonts w:ascii="Times New Roman"/>
                <w:sz w:val="18"/>
              </w:rPr>
            </w:pPr>
          </w:p>
        </w:tc>
        <w:tc>
          <w:tcPr>
            <w:tcW w:w="615" w:type="dxa"/>
          </w:tcPr>
          <w:p>
            <w:pPr>
              <w:pStyle w:val="TableParagraph"/>
              <w:rPr>
                <w:rFonts w:ascii="Times New Roman"/>
                <w:sz w:val="18"/>
              </w:rPr>
            </w:pPr>
          </w:p>
        </w:tc>
        <w:tc>
          <w:tcPr>
            <w:tcW w:w="495" w:type="dxa"/>
          </w:tcPr>
          <w:p>
            <w:pPr>
              <w:pStyle w:val="TableParagraph"/>
              <w:spacing w:line="233" w:lineRule="exact"/>
              <w:ind w:left="110" w:right="30"/>
              <w:jc w:val="center"/>
              <w:rPr>
                <w:rFonts w:ascii="Bookman Old Style"/>
                <w:b w:val="0"/>
                <w:sz w:val="20"/>
              </w:rPr>
            </w:pPr>
            <w:r>
              <w:rPr>
                <w:rFonts w:ascii="Bookman Old Style"/>
                <w:b w:val="0"/>
                <w:w w:val="60"/>
                <w:sz w:val="20"/>
              </w:rPr>
              <w:t>6000</w:t>
            </w:r>
          </w:p>
        </w:tc>
        <w:tc>
          <w:tcPr>
            <w:tcW w:w="517" w:type="dxa"/>
          </w:tcPr>
          <w:p>
            <w:pPr>
              <w:pStyle w:val="TableParagraph"/>
              <w:rPr>
                <w:rFonts w:ascii="Times New Roman"/>
                <w:sz w:val="18"/>
              </w:rPr>
            </w:pPr>
          </w:p>
        </w:tc>
        <w:tc>
          <w:tcPr>
            <w:tcW w:w="532" w:type="dxa"/>
          </w:tcPr>
          <w:p>
            <w:pPr>
              <w:pStyle w:val="TableParagraph"/>
              <w:rPr>
                <w:rFonts w:ascii="Times New Roman"/>
                <w:sz w:val="18"/>
              </w:rPr>
            </w:pPr>
          </w:p>
        </w:tc>
        <w:tc>
          <w:tcPr>
            <w:tcW w:w="589" w:type="dxa"/>
          </w:tcPr>
          <w:p>
            <w:pPr>
              <w:pStyle w:val="TableParagraph"/>
              <w:rPr>
                <w:rFonts w:ascii="Times New Roman"/>
                <w:sz w:val="18"/>
              </w:rPr>
            </w:pPr>
          </w:p>
        </w:tc>
        <w:tc>
          <w:tcPr>
            <w:tcW w:w="517" w:type="dxa"/>
          </w:tcPr>
          <w:p>
            <w:pPr>
              <w:pStyle w:val="TableParagraph"/>
              <w:spacing w:line="233" w:lineRule="exact"/>
              <w:ind w:right="70"/>
              <w:jc w:val="right"/>
              <w:rPr>
                <w:rFonts w:ascii="Bookman Old Style"/>
                <w:b w:val="0"/>
                <w:sz w:val="20"/>
              </w:rPr>
            </w:pPr>
            <w:r>
              <w:rPr>
                <w:rFonts w:ascii="Bookman Old Style"/>
                <w:b w:val="0"/>
                <w:w w:val="50"/>
                <w:sz w:val="20"/>
              </w:rPr>
              <w:t>6000</w:t>
            </w:r>
          </w:p>
        </w:tc>
        <w:tc>
          <w:tcPr>
            <w:tcW w:w="495" w:type="dxa"/>
          </w:tcPr>
          <w:p>
            <w:pPr>
              <w:pStyle w:val="TableParagraph"/>
              <w:rPr>
                <w:rFonts w:ascii="Times New Roman"/>
                <w:sz w:val="18"/>
              </w:rPr>
            </w:pPr>
          </w:p>
        </w:tc>
        <w:tc>
          <w:tcPr>
            <w:tcW w:w="565" w:type="dxa"/>
          </w:tcPr>
          <w:p>
            <w:pPr>
              <w:pStyle w:val="TableParagraph"/>
              <w:rPr>
                <w:rFonts w:ascii="Times New Roman"/>
                <w:sz w:val="18"/>
              </w:rPr>
            </w:pPr>
          </w:p>
        </w:tc>
        <w:tc>
          <w:tcPr>
            <w:tcW w:w="664" w:type="dxa"/>
          </w:tcPr>
          <w:p>
            <w:pPr>
              <w:pStyle w:val="TableParagraph"/>
              <w:rPr>
                <w:rFonts w:ascii="Times New Roman"/>
                <w:sz w:val="18"/>
              </w:rPr>
            </w:pPr>
          </w:p>
        </w:tc>
        <w:tc>
          <w:tcPr>
            <w:tcW w:w="1016" w:type="dxa"/>
          </w:tcPr>
          <w:p>
            <w:pPr>
              <w:pStyle w:val="TableParagraph"/>
              <w:spacing w:before="5"/>
              <w:ind w:right="74"/>
              <w:jc w:val="right"/>
              <w:rPr>
                <w:rFonts w:ascii="Times New Roman"/>
                <w:b/>
                <w:sz w:val="20"/>
              </w:rPr>
            </w:pPr>
            <w:r>
              <w:rPr>
                <w:rFonts w:ascii="Times New Roman"/>
                <w:b/>
                <w:w w:val="65"/>
                <w:sz w:val="20"/>
              </w:rPr>
              <w:t>30000</w:t>
            </w:r>
          </w:p>
        </w:tc>
      </w:tr>
      <w:tr>
        <w:trPr>
          <w:trHeight w:val="508"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44</w:t>
            </w:r>
          </w:p>
        </w:tc>
        <w:tc>
          <w:tcPr>
            <w:tcW w:w="516" w:type="dxa"/>
          </w:tcPr>
          <w:p>
            <w:pPr>
              <w:pStyle w:val="TableParagraph"/>
              <w:rPr>
                <w:rFonts w:ascii="Times New Roman"/>
                <w:sz w:val="18"/>
              </w:rPr>
            </w:pPr>
          </w:p>
        </w:tc>
        <w:tc>
          <w:tcPr>
            <w:tcW w:w="552" w:type="dxa"/>
          </w:tcPr>
          <w:p>
            <w:pPr>
              <w:pStyle w:val="TableParagraph"/>
              <w:rPr>
                <w:rFonts w:ascii="Times New Roman"/>
                <w:sz w:val="18"/>
              </w:rPr>
            </w:pPr>
          </w:p>
        </w:tc>
        <w:tc>
          <w:tcPr>
            <w:tcW w:w="613" w:type="dxa"/>
          </w:tcPr>
          <w:p>
            <w:pPr>
              <w:pStyle w:val="TableParagraph"/>
              <w:rPr>
                <w:rFonts w:ascii="Times New Roman"/>
                <w:sz w:val="18"/>
              </w:rPr>
            </w:pPr>
          </w:p>
        </w:tc>
        <w:tc>
          <w:tcPr>
            <w:tcW w:w="629" w:type="dxa"/>
          </w:tcPr>
          <w:p>
            <w:pPr>
              <w:pStyle w:val="TableParagraph"/>
              <w:spacing w:line="233" w:lineRule="exact"/>
              <w:ind w:right="62"/>
              <w:jc w:val="right"/>
              <w:rPr>
                <w:rFonts w:ascii="Bookman Old Style"/>
                <w:b w:val="0"/>
                <w:sz w:val="20"/>
              </w:rPr>
            </w:pPr>
            <w:r>
              <w:rPr>
                <w:rFonts w:ascii="Bookman Old Style"/>
                <w:b w:val="0"/>
                <w:w w:val="50"/>
                <w:sz w:val="20"/>
              </w:rPr>
              <w:t>6000</w:t>
            </w:r>
          </w:p>
        </w:tc>
        <w:tc>
          <w:tcPr>
            <w:tcW w:w="471" w:type="dxa"/>
          </w:tcPr>
          <w:p>
            <w:pPr>
              <w:pStyle w:val="TableParagraph"/>
              <w:rPr>
                <w:rFonts w:ascii="Times New Roman"/>
                <w:sz w:val="18"/>
              </w:rPr>
            </w:pPr>
          </w:p>
        </w:tc>
        <w:tc>
          <w:tcPr>
            <w:tcW w:w="471" w:type="dxa"/>
          </w:tcPr>
          <w:p>
            <w:pPr>
              <w:pStyle w:val="TableParagraph"/>
              <w:rPr>
                <w:rFonts w:ascii="Times New Roman"/>
                <w:sz w:val="18"/>
              </w:rPr>
            </w:pPr>
          </w:p>
        </w:tc>
        <w:tc>
          <w:tcPr>
            <w:tcW w:w="625" w:type="dxa"/>
          </w:tcPr>
          <w:p>
            <w:pPr>
              <w:pStyle w:val="TableParagraph"/>
              <w:rPr>
                <w:rFonts w:ascii="Times New Roman"/>
                <w:sz w:val="18"/>
              </w:rPr>
            </w:pP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6000</w:t>
            </w:r>
          </w:p>
        </w:tc>
        <w:tc>
          <w:tcPr>
            <w:tcW w:w="517" w:type="dxa"/>
          </w:tcPr>
          <w:p>
            <w:pPr>
              <w:pStyle w:val="TableParagraph"/>
              <w:rPr>
                <w:rFonts w:ascii="Times New Roman"/>
                <w:sz w:val="18"/>
              </w:rPr>
            </w:pPr>
          </w:p>
        </w:tc>
        <w:tc>
          <w:tcPr>
            <w:tcW w:w="517" w:type="dxa"/>
          </w:tcPr>
          <w:p>
            <w:pPr>
              <w:pStyle w:val="TableParagraph"/>
              <w:rPr>
                <w:rFonts w:ascii="Times New Roman"/>
                <w:sz w:val="18"/>
              </w:rPr>
            </w:pPr>
          </w:p>
        </w:tc>
        <w:tc>
          <w:tcPr>
            <w:tcW w:w="613" w:type="dxa"/>
          </w:tcPr>
          <w:p>
            <w:pPr>
              <w:pStyle w:val="TableParagraph"/>
              <w:rPr>
                <w:rFonts w:ascii="Times New Roman"/>
                <w:sz w:val="18"/>
              </w:rPr>
            </w:pPr>
          </w:p>
        </w:tc>
        <w:tc>
          <w:tcPr>
            <w:tcW w:w="615" w:type="dxa"/>
          </w:tcPr>
          <w:p>
            <w:pPr>
              <w:pStyle w:val="TableParagraph"/>
              <w:spacing w:line="233" w:lineRule="exact"/>
              <w:ind w:right="66"/>
              <w:jc w:val="right"/>
              <w:rPr>
                <w:rFonts w:ascii="Bookman Old Style"/>
                <w:b w:val="0"/>
                <w:sz w:val="20"/>
              </w:rPr>
            </w:pPr>
            <w:r>
              <w:rPr>
                <w:rFonts w:ascii="Bookman Old Style"/>
                <w:b w:val="0"/>
                <w:w w:val="50"/>
                <w:sz w:val="20"/>
              </w:rPr>
              <w:t>6000</w:t>
            </w:r>
          </w:p>
        </w:tc>
        <w:tc>
          <w:tcPr>
            <w:tcW w:w="495" w:type="dxa"/>
          </w:tcPr>
          <w:p>
            <w:pPr>
              <w:pStyle w:val="TableParagraph"/>
              <w:rPr>
                <w:rFonts w:ascii="Times New Roman"/>
                <w:sz w:val="18"/>
              </w:rPr>
            </w:pPr>
          </w:p>
        </w:tc>
        <w:tc>
          <w:tcPr>
            <w:tcW w:w="517" w:type="dxa"/>
          </w:tcPr>
          <w:p>
            <w:pPr>
              <w:pStyle w:val="TableParagraph"/>
              <w:rPr>
                <w:rFonts w:ascii="Times New Roman"/>
                <w:sz w:val="18"/>
              </w:rPr>
            </w:pPr>
          </w:p>
        </w:tc>
        <w:tc>
          <w:tcPr>
            <w:tcW w:w="532" w:type="dxa"/>
          </w:tcPr>
          <w:p>
            <w:pPr>
              <w:pStyle w:val="TableParagraph"/>
              <w:rPr>
                <w:rFonts w:ascii="Times New Roman"/>
                <w:sz w:val="18"/>
              </w:rPr>
            </w:pPr>
          </w:p>
        </w:tc>
        <w:tc>
          <w:tcPr>
            <w:tcW w:w="589" w:type="dxa"/>
          </w:tcPr>
          <w:p>
            <w:pPr>
              <w:pStyle w:val="TableParagraph"/>
              <w:spacing w:line="233" w:lineRule="exact"/>
              <w:ind w:right="69"/>
              <w:jc w:val="right"/>
              <w:rPr>
                <w:rFonts w:ascii="Bookman Old Style"/>
                <w:b w:val="0"/>
                <w:sz w:val="20"/>
              </w:rPr>
            </w:pPr>
            <w:r>
              <w:rPr>
                <w:rFonts w:ascii="Bookman Old Style"/>
                <w:b w:val="0"/>
                <w:w w:val="50"/>
                <w:sz w:val="20"/>
              </w:rPr>
              <w:t>6000</w:t>
            </w:r>
          </w:p>
        </w:tc>
        <w:tc>
          <w:tcPr>
            <w:tcW w:w="517" w:type="dxa"/>
          </w:tcPr>
          <w:p>
            <w:pPr>
              <w:pStyle w:val="TableParagraph"/>
              <w:rPr>
                <w:rFonts w:ascii="Times New Roman"/>
                <w:sz w:val="18"/>
              </w:rPr>
            </w:pPr>
          </w:p>
        </w:tc>
        <w:tc>
          <w:tcPr>
            <w:tcW w:w="495" w:type="dxa"/>
          </w:tcPr>
          <w:p>
            <w:pPr>
              <w:pStyle w:val="TableParagraph"/>
              <w:rPr>
                <w:rFonts w:ascii="Times New Roman"/>
                <w:sz w:val="18"/>
              </w:rPr>
            </w:pPr>
          </w:p>
        </w:tc>
        <w:tc>
          <w:tcPr>
            <w:tcW w:w="565" w:type="dxa"/>
          </w:tcPr>
          <w:p>
            <w:pPr>
              <w:pStyle w:val="TableParagraph"/>
              <w:rPr>
                <w:rFonts w:ascii="Times New Roman"/>
                <w:sz w:val="18"/>
              </w:rPr>
            </w:pP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6000</w:t>
            </w:r>
          </w:p>
        </w:tc>
        <w:tc>
          <w:tcPr>
            <w:tcW w:w="1016" w:type="dxa"/>
          </w:tcPr>
          <w:p>
            <w:pPr>
              <w:pStyle w:val="TableParagraph"/>
              <w:spacing w:before="5"/>
              <w:ind w:right="74"/>
              <w:jc w:val="right"/>
              <w:rPr>
                <w:rFonts w:ascii="Times New Roman"/>
                <w:b/>
                <w:sz w:val="20"/>
              </w:rPr>
            </w:pPr>
            <w:r>
              <w:rPr>
                <w:rFonts w:ascii="Times New Roman"/>
                <w:b/>
                <w:w w:val="65"/>
                <w:sz w:val="20"/>
              </w:rPr>
              <w:t>30000</w:t>
            </w:r>
          </w:p>
        </w:tc>
      </w:tr>
      <w:tr>
        <w:trPr>
          <w:trHeight w:val="278" w:hRule="atLeast"/>
        </w:trPr>
        <w:tc>
          <w:tcPr>
            <w:tcW w:w="1054" w:type="dxa"/>
            <w:vMerge w:val="restart"/>
          </w:tcPr>
          <w:p>
            <w:pPr>
              <w:pStyle w:val="TableParagraph"/>
              <w:ind w:left="69"/>
              <w:rPr>
                <w:rFonts w:ascii="Bookman Old Style"/>
                <w:b w:val="0"/>
                <w:sz w:val="18"/>
              </w:rPr>
            </w:pPr>
            <w:r>
              <w:rPr>
                <w:rFonts w:ascii="Bookman Old Style"/>
                <w:b w:val="0"/>
                <w:spacing w:val="-1"/>
                <w:w w:val="58"/>
                <w:sz w:val="18"/>
              </w:rPr>
              <w:t>R.</w:t>
            </w:r>
            <w:r>
              <w:rPr>
                <w:rFonts w:ascii="Bookman Old Style"/>
                <w:b w:val="0"/>
                <w:w w:val="53"/>
                <w:sz w:val="18"/>
              </w:rPr>
              <w:t>1</w:t>
            </w:r>
            <w:r>
              <w:rPr>
                <w:rFonts w:ascii="Bookman Old Style"/>
                <w:b w:val="0"/>
                <w:smallCaps/>
                <w:w w:val="53"/>
                <w:sz w:val="18"/>
              </w:rPr>
              <w:t>4</w:t>
            </w:r>
            <w:r>
              <w:rPr>
                <w:rFonts w:ascii="Bookman Old Style"/>
                <w:b w:val="0"/>
                <w:smallCaps w:val="0"/>
                <w:w w:val="51"/>
                <w:sz w:val="18"/>
              </w:rPr>
              <w:t>.</w:t>
            </w:r>
          </w:p>
        </w:tc>
        <w:tc>
          <w:tcPr>
            <w:tcW w:w="972" w:type="dxa"/>
            <w:shd w:val="clear" w:color="auto" w:fill="DEEAF6"/>
          </w:tcPr>
          <w:p>
            <w:pPr>
              <w:pStyle w:val="TableParagraph"/>
              <w:ind w:left="53" w:right="46"/>
              <w:jc w:val="center"/>
              <w:rPr>
                <w:rFonts w:ascii="Bookman Old Style"/>
                <w:b w:val="0"/>
                <w:sz w:val="18"/>
              </w:rPr>
            </w:pPr>
            <w:r>
              <w:rPr>
                <w:rFonts w:ascii="Bookman Old Style"/>
                <w:b w:val="0"/>
                <w:smallCaps/>
                <w:w w:val="53"/>
                <w:sz w:val="18"/>
              </w:rPr>
              <w:t>45</w:t>
            </w:r>
          </w:p>
        </w:tc>
        <w:tc>
          <w:tcPr>
            <w:tcW w:w="516" w:type="dxa"/>
          </w:tcPr>
          <w:p>
            <w:pPr>
              <w:pStyle w:val="TableParagraph"/>
              <w:spacing w:before="1"/>
              <w:ind w:right="59"/>
              <w:jc w:val="right"/>
              <w:rPr>
                <w:rFonts w:ascii="Bookman Old Style"/>
                <w:b w:val="0"/>
                <w:sz w:val="20"/>
              </w:rPr>
            </w:pPr>
            <w:r>
              <w:rPr>
                <w:rFonts w:ascii="Bookman Old Style"/>
                <w:b w:val="0"/>
                <w:w w:val="50"/>
                <w:sz w:val="20"/>
              </w:rPr>
              <w:t>10000</w:t>
            </w:r>
          </w:p>
        </w:tc>
        <w:tc>
          <w:tcPr>
            <w:tcW w:w="552" w:type="dxa"/>
          </w:tcPr>
          <w:p>
            <w:pPr>
              <w:pStyle w:val="TableParagraph"/>
              <w:spacing w:before="1"/>
              <w:ind w:left="150"/>
              <w:rPr>
                <w:rFonts w:ascii="Bookman Old Style"/>
                <w:b w:val="0"/>
                <w:sz w:val="20"/>
              </w:rPr>
            </w:pPr>
            <w:r>
              <w:rPr>
                <w:rFonts w:ascii="Bookman Old Style"/>
                <w:b w:val="0"/>
                <w:w w:val="55"/>
                <w:sz w:val="20"/>
              </w:rPr>
              <w:t>10000</w:t>
            </w:r>
          </w:p>
        </w:tc>
        <w:tc>
          <w:tcPr>
            <w:tcW w:w="613" w:type="dxa"/>
          </w:tcPr>
          <w:p>
            <w:pPr>
              <w:pStyle w:val="TableParagraph"/>
              <w:spacing w:before="1"/>
              <w:ind w:right="60"/>
              <w:jc w:val="right"/>
              <w:rPr>
                <w:rFonts w:ascii="Bookman Old Style"/>
                <w:b w:val="0"/>
                <w:sz w:val="20"/>
              </w:rPr>
            </w:pPr>
            <w:r>
              <w:rPr>
                <w:rFonts w:ascii="Bookman Old Style"/>
                <w:b w:val="0"/>
                <w:w w:val="50"/>
                <w:sz w:val="20"/>
              </w:rPr>
              <w:t>15000</w:t>
            </w:r>
          </w:p>
        </w:tc>
        <w:tc>
          <w:tcPr>
            <w:tcW w:w="629" w:type="dxa"/>
          </w:tcPr>
          <w:p>
            <w:pPr>
              <w:pStyle w:val="TableParagraph"/>
              <w:spacing w:before="1"/>
              <w:ind w:right="62"/>
              <w:jc w:val="right"/>
              <w:rPr>
                <w:rFonts w:ascii="Bookman Old Style"/>
                <w:b w:val="0"/>
                <w:sz w:val="20"/>
              </w:rPr>
            </w:pPr>
            <w:r>
              <w:rPr>
                <w:rFonts w:ascii="Bookman Old Style"/>
                <w:b w:val="0"/>
                <w:w w:val="50"/>
                <w:sz w:val="20"/>
              </w:rPr>
              <w:t>15000</w:t>
            </w:r>
          </w:p>
        </w:tc>
        <w:tc>
          <w:tcPr>
            <w:tcW w:w="471" w:type="dxa"/>
          </w:tcPr>
          <w:p>
            <w:pPr>
              <w:pStyle w:val="TableParagraph"/>
              <w:spacing w:before="1"/>
              <w:ind w:left="30" w:right="25"/>
              <w:jc w:val="center"/>
              <w:rPr>
                <w:rFonts w:ascii="Bookman Old Style"/>
                <w:b w:val="0"/>
                <w:sz w:val="20"/>
              </w:rPr>
            </w:pPr>
            <w:r>
              <w:rPr>
                <w:rFonts w:ascii="Bookman Old Style"/>
                <w:b w:val="0"/>
                <w:w w:val="55"/>
                <w:sz w:val="20"/>
              </w:rPr>
              <w:t>10000</w:t>
            </w:r>
          </w:p>
        </w:tc>
        <w:tc>
          <w:tcPr>
            <w:tcW w:w="471" w:type="dxa"/>
          </w:tcPr>
          <w:p>
            <w:pPr>
              <w:pStyle w:val="TableParagraph"/>
              <w:spacing w:before="1"/>
              <w:ind w:left="29" w:right="25"/>
              <w:jc w:val="center"/>
              <w:rPr>
                <w:rFonts w:ascii="Bookman Old Style"/>
                <w:b w:val="0"/>
                <w:sz w:val="20"/>
              </w:rPr>
            </w:pPr>
            <w:r>
              <w:rPr>
                <w:rFonts w:ascii="Bookman Old Style"/>
                <w:b w:val="0"/>
                <w:w w:val="55"/>
                <w:sz w:val="20"/>
              </w:rPr>
              <w:t>10000</w:t>
            </w:r>
          </w:p>
        </w:tc>
        <w:tc>
          <w:tcPr>
            <w:tcW w:w="625" w:type="dxa"/>
          </w:tcPr>
          <w:p>
            <w:pPr>
              <w:pStyle w:val="TableParagraph"/>
              <w:spacing w:before="1"/>
              <w:ind w:right="62"/>
              <w:jc w:val="right"/>
              <w:rPr>
                <w:rFonts w:ascii="Bookman Old Style"/>
                <w:b w:val="0"/>
                <w:sz w:val="20"/>
              </w:rPr>
            </w:pPr>
            <w:r>
              <w:rPr>
                <w:rFonts w:ascii="Bookman Old Style"/>
                <w:b w:val="0"/>
                <w:w w:val="50"/>
                <w:sz w:val="20"/>
              </w:rPr>
              <w:t>15000</w:t>
            </w:r>
          </w:p>
        </w:tc>
        <w:tc>
          <w:tcPr>
            <w:tcW w:w="603" w:type="dxa"/>
          </w:tcPr>
          <w:p>
            <w:pPr>
              <w:pStyle w:val="TableParagraph"/>
              <w:spacing w:before="1"/>
              <w:ind w:right="65"/>
              <w:jc w:val="right"/>
              <w:rPr>
                <w:rFonts w:ascii="Bookman Old Style"/>
                <w:b w:val="0"/>
                <w:sz w:val="20"/>
              </w:rPr>
            </w:pPr>
            <w:r>
              <w:rPr>
                <w:rFonts w:ascii="Bookman Old Style"/>
                <w:b w:val="0"/>
                <w:w w:val="50"/>
                <w:sz w:val="20"/>
              </w:rPr>
              <w:t>15000</w:t>
            </w:r>
          </w:p>
        </w:tc>
        <w:tc>
          <w:tcPr>
            <w:tcW w:w="517" w:type="dxa"/>
          </w:tcPr>
          <w:p>
            <w:pPr>
              <w:pStyle w:val="TableParagraph"/>
              <w:spacing w:before="1"/>
              <w:ind w:left="112"/>
              <w:rPr>
                <w:rFonts w:ascii="Bookman Old Style"/>
                <w:b w:val="0"/>
                <w:sz w:val="20"/>
              </w:rPr>
            </w:pPr>
            <w:r>
              <w:rPr>
                <w:rFonts w:ascii="Bookman Old Style"/>
                <w:b w:val="0"/>
                <w:w w:val="60"/>
                <w:sz w:val="20"/>
              </w:rPr>
              <w:t>10000</w:t>
            </w:r>
          </w:p>
        </w:tc>
        <w:tc>
          <w:tcPr>
            <w:tcW w:w="517" w:type="dxa"/>
          </w:tcPr>
          <w:p>
            <w:pPr>
              <w:pStyle w:val="TableParagraph"/>
              <w:spacing w:before="1"/>
              <w:ind w:left="65" w:right="21"/>
              <w:jc w:val="center"/>
              <w:rPr>
                <w:rFonts w:ascii="Bookman Old Style"/>
                <w:b w:val="0"/>
                <w:sz w:val="20"/>
              </w:rPr>
            </w:pPr>
            <w:r>
              <w:rPr>
                <w:rFonts w:ascii="Bookman Old Style"/>
                <w:b w:val="0"/>
                <w:w w:val="60"/>
                <w:sz w:val="20"/>
              </w:rPr>
              <w:t>10000</w:t>
            </w:r>
          </w:p>
        </w:tc>
        <w:tc>
          <w:tcPr>
            <w:tcW w:w="613" w:type="dxa"/>
          </w:tcPr>
          <w:p>
            <w:pPr>
              <w:pStyle w:val="TableParagraph"/>
              <w:spacing w:before="1"/>
              <w:ind w:right="65"/>
              <w:jc w:val="right"/>
              <w:rPr>
                <w:rFonts w:ascii="Bookman Old Style"/>
                <w:b w:val="0"/>
                <w:sz w:val="20"/>
              </w:rPr>
            </w:pPr>
            <w:r>
              <w:rPr>
                <w:rFonts w:ascii="Bookman Old Style"/>
                <w:b w:val="0"/>
                <w:w w:val="50"/>
                <w:sz w:val="20"/>
              </w:rPr>
              <w:t>15000</w:t>
            </w:r>
          </w:p>
        </w:tc>
        <w:tc>
          <w:tcPr>
            <w:tcW w:w="615" w:type="dxa"/>
          </w:tcPr>
          <w:p>
            <w:pPr>
              <w:pStyle w:val="TableParagraph"/>
              <w:spacing w:before="1"/>
              <w:ind w:right="66"/>
              <w:jc w:val="right"/>
              <w:rPr>
                <w:rFonts w:ascii="Bookman Old Style"/>
                <w:b w:val="0"/>
                <w:sz w:val="20"/>
              </w:rPr>
            </w:pPr>
            <w:r>
              <w:rPr>
                <w:rFonts w:ascii="Bookman Old Style"/>
                <w:b w:val="0"/>
                <w:w w:val="50"/>
                <w:sz w:val="20"/>
              </w:rPr>
              <w:t>15000</w:t>
            </w:r>
          </w:p>
        </w:tc>
        <w:tc>
          <w:tcPr>
            <w:tcW w:w="495" w:type="dxa"/>
          </w:tcPr>
          <w:p>
            <w:pPr>
              <w:pStyle w:val="TableParagraph"/>
              <w:spacing w:before="1"/>
              <w:ind w:left="42" w:right="30"/>
              <w:jc w:val="center"/>
              <w:rPr>
                <w:rFonts w:ascii="Bookman Old Style"/>
                <w:b w:val="0"/>
                <w:sz w:val="20"/>
              </w:rPr>
            </w:pPr>
            <w:r>
              <w:rPr>
                <w:rFonts w:ascii="Bookman Old Style"/>
                <w:b w:val="0"/>
                <w:w w:val="60"/>
                <w:sz w:val="20"/>
              </w:rPr>
              <w:t>10000</w:t>
            </w:r>
          </w:p>
        </w:tc>
        <w:tc>
          <w:tcPr>
            <w:tcW w:w="517" w:type="dxa"/>
          </w:tcPr>
          <w:p>
            <w:pPr>
              <w:pStyle w:val="TableParagraph"/>
              <w:spacing w:before="1"/>
              <w:ind w:left="62" w:right="25"/>
              <w:jc w:val="center"/>
              <w:rPr>
                <w:rFonts w:ascii="Bookman Old Style"/>
                <w:b w:val="0"/>
                <w:sz w:val="20"/>
              </w:rPr>
            </w:pPr>
            <w:r>
              <w:rPr>
                <w:rFonts w:ascii="Bookman Old Style"/>
                <w:b w:val="0"/>
                <w:w w:val="60"/>
                <w:sz w:val="20"/>
              </w:rPr>
              <w:t>10000</w:t>
            </w:r>
          </w:p>
        </w:tc>
        <w:tc>
          <w:tcPr>
            <w:tcW w:w="532" w:type="dxa"/>
          </w:tcPr>
          <w:p>
            <w:pPr>
              <w:pStyle w:val="TableParagraph"/>
              <w:spacing w:before="1"/>
              <w:ind w:right="69"/>
              <w:jc w:val="right"/>
              <w:rPr>
                <w:rFonts w:ascii="Bookman Old Style"/>
                <w:b w:val="0"/>
                <w:sz w:val="20"/>
              </w:rPr>
            </w:pPr>
            <w:r>
              <w:rPr>
                <w:rFonts w:ascii="Bookman Old Style"/>
                <w:b w:val="0"/>
                <w:w w:val="50"/>
                <w:sz w:val="20"/>
              </w:rPr>
              <w:t>15000</w:t>
            </w:r>
          </w:p>
        </w:tc>
        <w:tc>
          <w:tcPr>
            <w:tcW w:w="589" w:type="dxa"/>
          </w:tcPr>
          <w:p>
            <w:pPr>
              <w:pStyle w:val="TableParagraph"/>
              <w:spacing w:before="1"/>
              <w:ind w:right="70"/>
              <w:jc w:val="right"/>
              <w:rPr>
                <w:rFonts w:ascii="Bookman Old Style"/>
                <w:b w:val="0"/>
                <w:sz w:val="20"/>
              </w:rPr>
            </w:pPr>
            <w:r>
              <w:rPr>
                <w:rFonts w:ascii="Bookman Old Style"/>
                <w:b w:val="0"/>
                <w:w w:val="50"/>
                <w:sz w:val="20"/>
              </w:rPr>
              <w:t>15000</w:t>
            </w:r>
          </w:p>
        </w:tc>
        <w:tc>
          <w:tcPr>
            <w:tcW w:w="517" w:type="dxa"/>
          </w:tcPr>
          <w:p>
            <w:pPr>
              <w:pStyle w:val="TableParagraph"/>
              <w:spacing w:before="1"/>
              <w:ind w:right="71"/>
              <w:jc w:val="right"/>
              <w:rPr>
                <w:rFonts w:ascii="Bookman Old Style"/>
                <w:b w:val="0"/>
                <w:sz w:val="20"/>
              </w:rPr>
            </w:pPr>
            <w:r>
              <w:rPr>
                <w:rFonts w:ascii="Bookman Old Style"/>
                <w:b w:val="0"/>
                <w:w w:val="50"/>
                <w:sz w:val="20"/>
              </w:rPr>
              <w:t>10000</w:t>
            </w:r>
          </w:p>
        </w:tc>
        <w:tc>
          <w:tcPr>
            <w:tcW w:w="495" w:type="dxa"/>
          </w:tcPr>
          <w:p>
            <w:pPr>
              <w:pStyle w:val="TableParagraph"/>
              <w:spacing w:before="1"/>
              <w:ind w:right="74"/>
              <w:jc w:val="right"/>
              <w:rPr>
                <w:rFonts w:ascii="Bookman Old Style"/>
                <w:b w:val="0"/>
                <w:sz w:val="20"/>
              </w:rPr>
            </w:pPr>
            <w:r>
              <w:rPr>
                <w:rFonts w:ascii="Bookman Old Style"/>
                <w:b w:val="0"/>
                <w:w w:val="50"/>
                <w:sz w:val="20"/>
              </w:rPr>
              <w:t>10000</w:t>
            </w:r>
          </w:p>
        </w:tc>
        <w:tc>
          <w:tcPr>
            <w:tcW w:w="565" w:type="dxa"/>
          </w:tcPr>
          <w:p>
            <w:pPr>
              <w:pStyle w:val="TableParagraph"/>
              <w:spacing w:before="1"/>
              <w:ind w:right="72"/>
              <w:jc w:val="right"/>
              <w:rPr>
                <w:rFonts w:ascii="Bookman Old Style"/>
                <w:b w:val="0"/>
                <w:sz w:val="20"/>
              </w:rPr>
            </w:pPr>
            <w:r>
              <w:rPr>
                <w:rFonts w:ascii="Bookman Old Style"/>
                <w:b w:val="0"/>
                <w:w w:val="50"/>
                <w:sz w:val="20"/>
              </w:rPr>
              <w:t>15000</w:t>
            </w:r>
          </w:p>
        </w:tc>
        <w:tc>
          <w:tcPr>
            <w:tcW w:w="664" w:type="dxa"/>
          </w:tcPr>
          <w:p>
            <w:pPr>
              <w:pStyle w:val="TableParagraph"/>
              <w:spacing w:before="1"/>
              <w:ind w:right="76"/>
              <w:jc w:val="right"/>
              <w:rPr>
                <w:rFonts w:ascii="Bookman Old Style"/>
                <w:b w:val="0"/>
                <w:sz w:val="20"/>
              </w:rPr>
            </w:pPr>
            <w:r>
              <w:rPr>
                <w:rFonts w:ascii="Bookman Old Style"/>
                <w:b w:val="0"/>
                <w:w w:val="50"/>
                <w:sz w:val="20"/>
              </w:rPr>
              <w:t>15000</w:t>
            </w:r>
          </w:p>
        </w:tc>
        <w:tc>
          <w:tcPr>
            <w:tcW w:w="1016" w:type="dxa"/>
          </w:tcPr>
          <w:p>
            <w:pPr>
              <w:pStyle w:val="TableParagraph"/>
              <w:spacing w:before="7"/>
              <w:ind w:right="74"/>
              <w:jc w:val="right"/>
              <w:rPr>
                <w:rFonts w:ascii="Times New Roman"/>
                <w:b/>
                <w:sz w:val="20"/>
              </w:rPr>
            </w:pPr>
            <w:r>
              <w:rPr>
                <w:rFonts w:ascii="Times New Roman"/>
                <w:b/>
                <w:w w:val="65"/>
                <w:sz w:val="20"/>
              </w:rPr>
              <w:t>250000</w:t>
            </w:r>
          </w:p>
        </w:tc>
      </w:tr>
      <w:tr>
        <w:trPr>
          <w:trHeight w:val="278"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46</w:t>
            </w:r>
          </w:p>
        </w:tc>
        <w:tc>
          <w:tcPr>
            <w:tcW w:w="516" w:type="dxa"/>
          </w:tcPr>
          <w:p>
            <w:pPr>
              <w:pStyle w:val="TableParagraph"/>
              <w:spacing w:line="233" w:lineRule="exact"/>
              <w:ind w:right="59"/>
              <w:jc w:val="right"/>
              <w:rPr>
                <w:rFonts w:ascii="Bookman Old Style"/>
                <w:b w:val="0"/>
                <w:sz w:val="20"/>
              </w:rPr>
            </w:pPr>
            <w:r>
              <w:rPr>
                <w:rFonts w:ascii="Bookman Old Style"/>
                <w:b w:val="0"/>
                <w:w w:val="50"/>
                <w:sz w:val="20"/>
              </w:rPr>
              <w:t>10000</w:t>
            </w:r>
          </w:p>
        </w:tc>
        <w:tc>
          <w:tcPr>
            <w:tcW w:w="552" w:type="dxa"/>
          </w:tcPr>
          <w:p>
            <w:pPr>
              <w:pStyle w:val="TableParagraph"/>
              <w:spacing w:line="233" w:lineRule="exact"/>
              <w:ind w:left="150"/>
              <w:rPr>
                <w:rFonts w:ascii="Bookman Old Style"/>
                <w:b w:val="0"/>
                <w:sz w:val="20"/>
              </w:rPr>
            </w:pPr>
            <w:r>
              <w:rPr>
                <w:rFonts w:ascii="Bookman Old Style"/>
                <w:b w:val="0"/>
                <w:w w:val="55"/>
                <w:sz w:val="20"/>
              </w:rPr>
              <w:t>10000</w:t>
            </w:r>
          </w:p>
        </w:tc>
        <w:tc>
          <w:tcPr>
            <w:tcW w:w="613" w:type="dxa"/>
          </w:tcPr>
          <w:p>
            <w:pPr>
              <w:pStyle w:val="TableParagraph"/>
              <w:spacing w:line="233" w:lineRule="exact"/>
              <w:ind w:right="60"/>
              <w:jc w:val="right"/>
              <w:rPr>
                <w:rFonts w:ascii="Bookman Old Style"/>
                <w:b w:val="0"/>
                <w:sz w:val="20"/>
              </w:rPr>
            </w:pPr>
            <w:r>
              <w:rPr>
                <w:rFonts w:ascii="Bookman Old Style"/>
                <w:b w:val="0"/>
                <w:w w:val="50"/>
                <w:sz w:val="20"/>
              </w:rPr>
              <w:t>15000</w:t>
            </w:r>
          </w:p>
        </w:tc>
        <w:tc>
          <w:tcPr>
            <w:tcW w:w="629" w:type="dxa"/>
          </w:tcPr>
          <w:p>
            <w:pPr>
              <w:pStyle w:val="TableParagraph"/>
              <w:spacing w:line="233" w:lineRule="exact"/>
              <w:ind w:right="62"/>
              <w:jc w:val="right"/>
              <w:rPr>
                <w:rFonts w:ascii="Bookman Old Style"/>
                <w:b w:val="0"/>
                <w:sz w:val="20"/>
              </w:rPr>
            </w:pPr>
            <w:r>
              <w:rPr>
                <w:rFonts w:ascii="Bookman Old Style"/>
                <w:b w:val="0"/>
                <w:w w:val="50"/>
                <w:sz w:val="20"/>
              </w:rPr>
              <w:t>15000</w:t>
            </w:r>
          </w:p>
        </w:tc>
        <w:tc>
          <w:tcPr>
            <w:tcW w:w="471" w:type="dxa"/>
          </w:tcPr>
          <w:p>
            <w:pPr>
              <w:pStyle w:val="TableParagraph"/>
              <w:spacing w:line="233" w:lineRule="exact"/>
              <w:ind w:left="30" w:right="25"/>
              <w:jc w:val="center"/>
              <w:rPr>
                <w:rFonts w:ascii="Bookman Old Style"/>
                <w:b w:val="0"/>
                <w:sz w:val="20"/>
              </w:rPr>
            </w:pPr>
            <w:r>
              <w:rPr>
                <w:rFonts w:ascii="Bookman Old Style"/>
                <w:b w:val="0"/>
                <w:w w:val="55"/>
                <w:sz w:val="20"/>
              </w:rPr>
              <w:t>10000</w:t>
            </w:r>
          </w:p>
        </w:tc>
        <w:tc>
          <w:tcPr>
            <w:tcW w:w="471" w:type="dxa"/>
          </w:tcPr>
          <w:p>
            <w:pPr>
              <w:pStyle w:val="TableParagraph"/>
              <w:spacing w:line="233" w:lineRule="exact"/>
              <w:ind w:left="29" w:right="25"/>
              <w:jc w:val="center"/>
              <w:rPr>
                <w:rFonts w:ascii="Bookman Old Style"/>
                <w:b w:val="0"/>
                <w:sz w:val="20"/>
              </w:rPr>
            </w:pPr>
            <w:r>
              <w:rPr>
                <w:rFonts w:ascii="Bookman Old Style"/>
                <w:b w:val="0"/>
                <w:w w:val="55"/>
                <w:sz w:val="20"/>
              </w:rPr>
              <w:t>10000</w:t>
            </w:r>
          </w:p>
        </w:tc>
        <w:tc>
          <w:tcPr>
            <w:tcW w:w="625" w:type="dxa"/>
          </w:tcPr>
          <w:p>
            <w:pPr>
              <w:pStyle w:val="TableParagraph"/>
              <w:spacing w:line="233" w:lineRule="exact"/>
              <w:ind w:right="62"/>
              <w:jc w:val="right"/>
              <w:rPr>
                <w:rFonts w:ascii="Bookman Old Style"/>
                <w:b w:val="0"/>
                <w:sz w:val="20"/>
              </w:rPr>
            </w:pPr>
            <w:r>
              <w:rPr>
                <w:rFonts w:ascii="Bookman Old Style"/>
                <w:b w:val="0"/>
                <w:w w:val="50"/>
                <w:sz w:val="20"/>
              </w:rPr>
              <w:t>15000</w:t>
            </w: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15000</w:t>
            </w:r>
          </w:p>
        </w:tc>
        <w:tc>
          <w:tcPr>
            <w:tcW w:w="517" w:type="dxa"/>
          </w:tcPr>
          <w:p>
            <w:pPr>
              <w:pStyle w:val="TableParagraph"/>
              <w:spacing w:line="233" w:lineRule="exact"/>
              <w:ind w:left="112"/>
              <w:rPr>
                <w:rFonts w:ascii="Bookman Old Style"/>
                <w:b w:val="0"/>
                <w:sz w:val="20"/>
              </w:rPr>
            </w:pPr>
            <w:r>
              <w:rPr>
                <w:rFonts w:ascii="Bookman Old Style"/>
                <w:b w:val="0"/>
                <w:w w:val="60"/>
                <w:sz w:val="20"/>
              </w:rPr>
              <w:t>10000</w:t>
            </w:r>
          </w:p>
        </w:tc>
        <w:tc>
          <w:tcPr>
            <w:tcW w:w="517" w:type="dxa"/>
          </w:tcPr>
          <w:p>
            <w:pPr>
              <w:pStyle w:val="TableParagraph"/>
              <w:spacing w:line="233" w:lineRule="exact"/>
              <w:ind w:left="65" w:right="21"/>
              <w:jc w:val="center"/>
              <w:rPr>
                <w:rFonts w:ascii="Bookman Old Style"/>
                <w:b w:val="0"/>
                <w:sz w:val="20"/>
              </w:rPr>
            </w:pPr>
            <w:r>
              <w:rPr>
                <w:rFonts w:ascii="Bookman Old Style"/>
                <w:b w:val="0"/>
                <w:w w:val="60"/>
                <w:sz w:val="20"/>
              </w:rPr>
              <w:t>10000</w:t>
            </w:r>
          </w:p>
        </w:tc>
        <w:tc>
          <w:tcPr>
            <w:tcW w:w="613" w:type="dxa"/>
          </w:tcPr>
          <w:p>
            <w:pPr>
              <w:pStyle w:val="TableParagraph"/>
              <w:spacing w:line="233" w:lineRule="exact"/>
              <w:ind w:right="65"/>
              <w:jc w:val="right"/>
              <w:rPr>
                <w:rFonts w:ascii="Bookman Old Style"/>
                <w:b w:val="0"/>
                <w:sz w:val="20"/>
              </w:rPr>
            </w:pPr>
            <w:r>
              <w:rPr>
                <w:rFonts w:ascii="Bookman Old Style"/>
                <w:b w:val="0"/>
                <w:w w:val="50"/>
                <w:sz w:val="20"/>
              </w:rPr>
              <w:t>15000</w:t>
            </w:r>
          </w:p>
        </w:tc>
        <w:tc>
          <w:tcPr>
            <w:tcW w:w="615" w:type="dxa"/>
          </w:tcPr>
          <w:p>
            <w:pPr>
              <w:pStyle w:val="TableParagraph"/>
              <w:spacing w:line="233" w:lineRule="exact"/>
              <w:ind w:right="66"/>
              <w:jc w:val="right"/>
              <w:rPr>
                <w:rFonts w:ascii="Bookman Old Style"/>
                <w:b w:val="0"/>
                <w:sz w:val="20"/>
              </w:rPr>
            </w:pPr>
            <w:r>
              <w:rPr>
                <w:rFonts w:ascii="Bookman Old Style"/>
                <w:b w:val="0"/>
                <w:w w:val="50"/>
                <w:sz w:val="20"/>
              </w:rPr>
              <w:t>15000</w:t>
            </w:r>
          </w:p>
        </w:tc>
        <w:tc>
          <w:tcPr>
            <w:tcW w:w="495" w:type="dxa"/>
          </w:tcPr>
          <w:p>
            <w:pPr>
              <w:pStyle w:val="TableParagraph"/>
              <w:spacing w:line="233" w:lineRule="exact"/>
              <w:ind w:left="42" w:right="30"/>
              <w:jc w:val="center"/>
              <w:rPr>
                <w:rFonts w:ascii="Bookman Old Style"/>
                <w:b w:val="0"/>
                <w:sz w:val="20"/>
              </w:rPr>
            </w:pPr>
            <w:r>
              <w:rPr>
                <w:rFonts w:ascii="Bookman Old Style"/>
                <w:b w:val="0"/>
                <w:w w:val="60"/>
                <w:sz w:val="20"/>
              </w:rPr>
              <w:t>10000</w:t>
            </w:r>
          </w:p>
        </w:tc>
        <w:tc>
          <w:tcPr>
            <w:tcW w:w="517" w:type="dxa"/>
          </w:tcPr>
          <w:p>
            <w:pPr>
              <w:pStyle w:val="TableParagraph"/>
              <w:spacing w:line="233" w:lineRule="exact"/>
              <w:ind w:left="62" w:right="25"/>
              <w:jc w:val="center"/>
              <w:rPr>
                <w:rFonts w:ascii="Bookman Old Style"/>
                <w:b w:val="0"/>
                <w:sz w:val="20"/>
              </w:rPr>
            </w:pPr>
            <w:r>
              <w:rPr>
                <w:rFonts w:ascii="Bookman Old Style"/>
                <w:b w:val="0"/>
                <w:w w:val="60"/>
                <w:sz w:val="20"/>
              </w:rPr>
              <w:t>10000</w:t>
            </w:r>
          </w:p>
        </w:tc>
        <w:tc>
          <w:tcPr>
            <w:tcW w:w="532" w:type="dxa"/>
          </w:tcPr>
          <w:p>
            <w:pPr>
              <w:pStyle w:val="TableParagraph"/>
              <w:spacing w:line="233" w:lineRule="exact"/>
              <w:ind w:right="69"/>
              <w:jc w:val="right"/>
              <w:rPr>
                <w:rFonts w:ascii="Bookman Old Style"/>
                <w:b w:val="0"/>
                <w:sz w:val="20"/>
              </w:rPr>
            </w:pPr>
            <w:r>
              <w:rPr>
                <w:rFonts w:ascii="Bookman Old Style"/>
                <w:b w:val="0"/>
                <w:w w:val="50"/>
                <w:sz w:val="20"/>
              </w:rPr>
              <w:t>15000</w:t>
            </w:r>
          </w:p>
        </w:tc>
        <w:tc>
          <w:tcPr>
            <w:tcW w:w="589" w:type="dxa"/>
          </w:tcPr>
          <w:p>
            <w:pPr>
              <w:pStyle w:val="TableParagraph"/>
              <w:spacing w:line="233" w:lineRule="exact"/>
              <w:ind w:right="70"/>
              <w:jc w:val="right"/>
              <w:rPr>
                <w:rFonts w:ascii="Bookman Old Style"/>
                <w:b w:val="0"/>
                <w:sz w:val="20"/>
              </w:rPr>
            </w:pPr>
            <w:r>
              <w:rPr>
                <w:rFonts w:ascii="Bookman Old Style"/>
                <w:b w:val="0"/>
                <w:w w:val="50"/>
                <w:sz w:val="20"/>
              </w:rPr>
              <w:t>15000</w:t>
            </w:r>
          </w:p>
        </w:tc>
        <w:tc>
          <w:tcPr>
            <w:tcW w:w="517" w:type="dxa"/>
          </w:tcPr>
          <w:p>
            <w:pPr>
              <w:pStyle w:val="TableParagraph"/>
              <w:spacing w:line="233" w:lineRule="exact"/>
              <w:ind w:right="71"/>
              <w:jc w:val="right"/>
              <w:rPr>
                <w:rFonts w:ascii="Bookman Old Style"/>
                <w:b w:val="0"/>
                <w:sz w:val="20"/>
              </w:rPr>
            </w:pPr>
            <w:r>
              <w:rPr>
                <w:rFonts w:ascii="Bookman Old Style"/>
                <w:b w:val="0"/>
                <w:w w:val="50"/>
                <w:sz w:val="20"/>
              </w:rPr>
              <w:t>10000</w:t>
            </w:r>
          </w:p>
        </w:tc>
        <w:tc>
          <w:tcPr>
            <w:tcW w:w="495" w:type="dxa"/>
          </w:tcPr>
          <w:p>
            <w:pPr>
              <w:pStyle w:val="TableParagraph"/>
              <w:spacing w:line="233" w:lineRule="exact"/>
              <w:ind w:right="74"/>
              <w:jc w:val="right"/>
              <w:rPr>
                <w:rFonts w:ascii="Bookman Old Style"/>
                <w:b w:val="0"/>
                <w:sz w:val="20"/>
              </w:rPr>
            </w:pPr>
            <w:r>
              <w:rPr>
                <w:rFonts w:ascii="Bookman Old Style"/>
                <w:b w:val="0"/>
                <w:w w:val="50"/>
                <w:sz w:val="20"/>
              </w:rPr>
              <w:t>10000</w:t>
            </w:r>
          </w:p>
        </w:tc>
        <w:tc>
          <w:tcPr>
            <w:tcW w:w="565" w:type="dxa"/>
          </w:tcPr>
          <w:p>
            <w:pPr>
              <w:pStyle w:val="TableParagraph"/>
              <w:spacing w:line="233" w:lineRule="exact"/>
              <w:ind w:right="72"/>
              <w:jc w:val="right"/>
              <w:rPr>
                <w:rFonts w:ascii="Bookman Old Style"/>
                <w:b w:val="0"/>
                <w:sz w:val="20"/>
              </w:rPr>
            </w:pPr>
            <w:r>
              <w:rPr>
                <w:rFonts w:ascii="Bookman Old Style"/>
                <w:b w:val="0"/>
                <w:w w:val="50"/>
                <w:sz w:val="20"/>
              </w:rPr>
              <w:t>15000</w:t>
            </w: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15000</w:t>
            </w:r>
          </w:p>
        </w:tc>
        <w:tc>
          <w:tcPr>
            <w:tcW w:w="1016" w:type="dxa"/>
          </w:tcPr>
          <w:p>
            <w:pPr>
              <w:pStyle w:val="TableParagraph"/>
              <w:spacing w:before="5"/>
              <w:ind w:right="74"/>
              <w:jc w:val="right"/>
              <w:rPr>
                <w:rFonts w:ascii="Times New Roman"/>
                <w:b/>
                <w:sz w:val="20"/>
              </w:rPr>
            </w:pPr>
            <w:r>
              <w:rPr>
                <w:rFonts w:ascii="Times New Roman"/>
                <w:b/>
                <w:w w:val="65"/>
                <w:sz w:val="20"/>
              </w:rPr>
              <w:t>250000</w:t>
            </w:r>
          </w:p>
        </w:tc>
      </w:tr>
      <w:tr>
        <w:trPr>
          <w:trHeight w:val="275" w:hRule="atLeast"/>
        </w:trPr>
        <w:tc>
          <w:tcPr>
            <w:tcW w:w="1054" w:type="dxa"/>
            <w:vMerge/>
            <w:tcBorders>
              <w:top w:val="nil"/>
            </w:tcBorders>
          </w:tcPr>
          <w:p>
            <w:pPr>
              <w:rPr>
                <w:sz w:val="2"/>
                <w:szCs w:val="2"/>
              </w:rPr>
            </w:pPr>
          </w:p>
        </w:tc>
        <w:tc>
          <w:tcPr>
            <w:tcW w:w="972" w:type="dxa"/>
            <w:shd w:val="clear" w:color="auto" w:fill="DEEAF6"/>
          </w:tcPr>
          <w:p>
            <w:pPr>
              <w:pStyle w:val="TableParagraph"/>
              <w:spacing w:line="209" w:lineRule="exact"/>
              <w:ind w:left="53" w:right="46"/>
              <w:jc w:val="center"/>
              <w:rPr>
                <w:rFonts w:ascii="Bookman Old Style"/>
                <w:b w:val="0"/>
                <w:sz w:val="18"/>
              </w:rPr>
            </w:pPr>
            <w:r>
              <w:rPr>
                <w:rFonts w:ascii="Bookman Old Style"/>
                <w:b w:val="0"/>
                <w:smallCaps/>
                <w:w w:val="53"/>
                <w:sz w:val="18"/>
              </w:rPr>
              <w:t>47</w:t>
            </w:r>
          </w:p>
        </w:tc>
        <w:tc>
          <w:tcPr>
            <w:tcW w:w="516" w:type="dxa"/>
          </w:tcPr>
          <w:p>
            <w:pPr>
              <w:pStyle w:val="TableParagraph"/>
              <w:rPr>
                <w:rFonts w:ascii="Times New Roman"/>
                <w:sz w:val="18"/>
              </w:rPr>
            </w:pPr>
          </w:p>
        </w:tc>
        <w:tc>
          <w:tcPr>
            <w:tcW w:w="552" w:type="dxa"/>
          </w:tcPr>
          <w:p>
            <w:pPr>
              <w:pStyle w:val="TableParagraph"/>
              <w:rPr>
                <w:rFonts w:ascii="Times New Roman"/>
                <w:sz w:val="18"/>
              </w:rPr>
            </w:pPr>
          </w:p>
        </w:tc>
        <w:tc>
          <w:tcPr>
            <w:tcW w:w="613" w:type="dxa"/>
          </w:tcPr>
          <w:p>
            <w:pPr>
              <w:pStyle w:val="TableParagraph"/>
              <w:spacing w:line="233" w:lineRule="exact"/>
              <w:ind w:right="60"/>
              <w:jc w:val="right"/>
              <w:rPr>
                <w:rFonts w:ascii="Bookman Old Style"/>
                <w:b w:val="0"/>
                <w:sz w:val="20"/>
              </w:rPr>
            </w:pPr>
            <w:r>
              <w:rPr>
                <w:rFonts w:ascii="Bookman Old Style"/>
                <w:b w:val="0"/>
                <w:w w:val="50"/>
                <w:sz w:val="20"/>
              </w:rPr>
              <w:t>5000</w:t>
            </w:r>
          </w:p>
        </w:tc>
        <w:tc>
          <w:tcPr>
            <w:tcW w:w="629" w:type="dxa"/>
          </w:tcPr>
          <w:p>
            <w:pPr>
              <w:pStyle w:val="TableParagraph"/>
              <w:spacing w:line="233" w:lineRule="exact"/>
              <w:ind w:right="62"/>
              <w:jc w:val="right"/>
              <w:rPr>
                <w:rFonts w:ascii="Bookman Old Style"/>
                <w:b w:val="0"/>
                <w:sz w:val="20"/>
              </w:rPr>
            </w:pPr>
            <w:r>
              <w:rPr>
                <w:rFonts w:ascii="Bookman Old Style"/>
                <w:b w:val="0"/>
                <w:w w:val="50"/>
                <w:sz w:val="20"/>
              </w:rPr>
              <w:t>30000</w:t>
            </w:r>
          </w:p>
        </w:tc>
        <w:tc>
          <w:tcPr>
            <w:tcW w:w="471" w:type="dxa"/>
          </w:tcPr>
          <w:p>
            <w:pPr>
              <w:pStyle w:val="TableParagraph"/>
              <w:spacing w:line="233" w:lineRule="exact"/>
              <w:ind w:left="30" w:right="25"/>
              <w:jc w:val="center"/>
              <w:rPr>
                <w:rFonts w:ascii="Bookman Old Style"/>
                <w:b w:val="0"/>
                <w:sz w:val="20"/>
              </w:rPr>
            </w:pPr>
            <w:r>
              <w:rPr>
                <w:rFonts w:ascii="Bookman Old Style"/>
                <w:b w:val="0"/>
                <w:w w:val="55"/>
                <w:sz w:val="20"/>
              </w:rPr>
              <w:t>20000</w:t>
            </w:r>
          </w:p>
        </w:tc>
        <w:tc>
          <w:tcPr>
            <w:tcW w:w="471" w:type="dxa"/>
          </w:tcPr>
          <w:p>
            <w:pPr>
              <w:pStyle w:val="TableParagraph"/>
              <w:rPr>
                <w:rFonts w:ascii="Times New Roman"/>
                <w:sz w:val="18"/>
              </w:rPr>
            </w:pPr>
          </w:p>
        </w:tc>
        <w:tc>
          <w:tcPr>
            <w:tcW w:w="625" w:type="dxa"/>
          </w:tcPr>
          <w:p>
            <w:pPr>
              <w:pStyle w:val="TableParagraph"/>
              <w:spacing w:line="233" w:lineRule="exact"/>
              <w:ind w:right="62"/>
              <w:jc w:val="right"/>
              <w:rPr>
                <w:rFonts w:ascii="Bookman Old Style"/>
                <w:b w:val="0"/>
                <w:sz w:val="20"/>
              </w:rPr>
            </w:pPr>
            <w:r>
              <w:rPr>
                <w:rFonts w:ascii="Bookman Old Style"/>
                <w:b w:val="0"/>
                <w:w w:val="50"/>
                <w:sz w:val="20"/>
              </w:rPr>
              <w:t>5000</w:t>
            </w:r>
          </w:p>
        </w:tc>
        <w:tc>
          <w:tcPr>
            <w:tcW w:w="603" w:type="dxa"/>
          </w:tcPr>
          <w:p>
            <w:pPr>
              <w:pStyle w:val="TableParagraph"/>
              <w:spacing w:line="233" w:lineRule="exact"/>
              <w:ind w:right="65"/>
              <w:jc w:val="right"/>
              <w:rPr>
                <w:rFonts w:ascii="Bookman Old Style"/>
                <w:b w:val="0"/>
                <w:sz w:val="20"/>
              </w:rPr>
            </w:pPr>
            <w:r>
              <w:rPr>
                <w:rFonts w:ascii="Bookman Old Style"/>
                <w:b w:val="0"/>
                <w:w w:val="50"/>
                <w:sz w:val="20"/>
              </w:rPr>
              <w:t>30000</w:t>
            </w:r>
          </w:p>
        </w:tc>
        <w:tc>
          <w:tcPr>
            <w:tcW w:w="517" w:type="dxa"/>
          </w:tcPr>
          <w:p>
            <w:pPr>
              <w:pStyle w:val="TableParagraph"/>
              <w:spacing w:line="233" w:lineRule="exact"/>
              <w:ind w:left="112"/>
              <w:rPr>
                <w:rFonts w:ascii="Bookman Old Style"/>
                <w:b w:val="0"/>
                <w:sz w:val="20"/>
              </w:rPr>
            </w:pPr>
            <w:r>
              <w:rPr>
                <w:rFonts w:ascii="Bookman Old Style"/>
                <w:b w:val="0"/>
                <w:w w:val="60"/>
                <w:sz w:val="20"/>
              </w:rPr>
              <w:t>20000</w:t>
            </w:r>
          </w:p>
        </w:tc>
        <w:tc>
          <w:tcPr>
            <w:tcW w:w="517" w:type="dxa"/>
          </w:tcPr>
          <w:p>
            <w:pPr>
              <w:pStyle w:val="TableParagraph"/>
              <w:rPr>
                <w:rFonts w:ascii="Times New Roman"/>
                <w:sz w:val="18"/>
              </w:rPr>
            </w:pPr>
          </w:p>
        </w:tc>
        <w:tc>
          <w:tcPr>
            <w:tcW w:w="613" w:type="dxa"/>
          </w:tcPr>
          <w:p>
            <w:pPr>
              <w:pStyle w:val="TableParagraph"/>
              <w:spacing w:line="233" w:lineRule="exact"/>
              <w:ind w:right="65"/>
              <w:jc w:val="right"/>
              <w:rPr>
                <w:rFonts w:ascii="Bookman Old Style"/>
                <w:b w:val="0"/>
                <w:sz w:val="20"/>
              </w:rPr>
            </w:pPr>
            <w:r>
              <w:rPr>
                <w:rFonts w:ascii="Bookman Old Style"/>
                <w:b w:val="0"/>
                <w:w w:val="50"/>
                <w:sz w:val="20"/>
              </w:rPr>
              <w:t>5000</w:t>
            </w:r>
          </w:p>
        </w:tc>
        <w:tc>
          <w:tcPr>
            <w:tcW w:w="615" w:type="dxa"/>
          </w:tcPr>
          <w:p>
            <w:pPr>
              <w:pStyle w:val="TableParagraph"/>
              <w:spacing w:line="233" w:lineRule="exact"/>
              <w:ind w:right="66"/>
              <w:jc w:val="right"/>
              <w:rPr>
                <w:rFonts w:ascii="Bookman Old Style"/>
                <w:b w:val="0"/>
                <w:sz w:val="20"/>
              </w:rPr>
            </w:pPr>
            <w:r>
              <w:rPr>
                <w:rFonts w:ascii="Bookman Old Style"/>
                <w:b w:val="0"/>
                <w:w w:val="50"/>
                <w:sz w:val="20"/>
              </w:rPr>
              <w:t>30000</w:t>
            </w:r>
          </w:p>
        </w:tc>
        <w:tc>
          <w:tcPr>
            <w:tcW w:w="495" w:type="dxa"/>
          </w:tcPr>
          <w:p>
            <w:pPr>
              <w:pStyle w:val="TableParagraph"/>
              <w:spacing w:line="233" w:lineRule="exact"/>
              <w:ind w:left="42" w:right="30"/>
              <w:jc w:val="center"/>
              <w:rPr>
                <w:rFonts w:ascii="Bookman Old Style"/>
                <w:b w:val="0"/>
                <w:sz w:val="20"/>
              </w:rPr>
            </w:pPr>
            <w:r>
              <w:rPr>
                <w:rFonts w:ascii="Bookman Old Style"/>
                <w:b w:val="0"/>
                <w:w w:val="60"/>
                <w:sz w:val="20"/>
              </w:rPr>
              <w:t>20000</w:t>
            </w:r>
          </w:p>
        </w:tc>
        <w:tc>
          <w:tcPr>
            <w:tcW w:w="517" w:type="dxa"/>
          </w:tcPr>
          <w:p>
            <w:pPr>
              <w:pStyle w:val="TableParagraph"/>
              <w:rPr>
                <w:rFonts w:ascii="Times New Roman"/>
                <w:sz w:val="18"/>
              </w:rPr>
            </w:pPr>
          </w:p>
        </w:tc>
        <w:tc>
          <w:tcPr>
            <w:tcW w:w="532" w:type="dxa"/>
          </w:tcPr>
          <w:p>
            <w:pPr>
              <w:pStyle w:val="TableParagraph"/>
              <w:spacing w:line="233" w:lineRule="exact"/>
              <w:ind w:right="68"/>
              <w:jc w:val="right"/>
              <w:rPr>
                <w:rFonts w:ascii="Bookman Old Style"/>
                <w:b w:val="0"/>
                <w:sz w:val="20"/>
              </w:rPr>
            </w:pPr>
            <w:r>
              <w:rPr>
                <w:rFonts w:ascii="Bookman Old Style"/>
                <w:b w:val="0"/>
                <w:w w:val="50"/>
                <w:sz w:val="20"/>
              </w:rPr>
              <w:t>5000</w:t>
            </w:r>
          </w:p>
        </w:tc>
        <w:tc>
          <w:tcPr>
            <w:tcW w:w="589" w:type="dxa"/>
          </w:tcPr>
          <w:p>
            <w:pPr>
              <w:pStyle w:val="TableParagraph"/>
              <w:spacing w:line="233" w:lineRule="exact"/>
              <w:ind w:right="70"/>
              <w:jc w:val="right"/>
              <w:rPr>
                <w:rFonts w:ascii="Bookman Old Style"/>
                <w:b w:val="0"/>
                <w:sz w:val="20"/>
              </w:rPr>
            </w:pPr>
            <w:r>
              <w:rPr>
                <w:rFonts w:ascii="Bookman Old Style"/>
                <w:b w:val="0"/>
                <w:w w:val="50"/>
                <w:sz w:val="20"/>
              </w:rPr>
              <w:t>30000</w:t>
            </w:r>
          </w:p>
        </w:tc>
        <w:tc>
          <w:tcPr>
            <w:tcW w:w="517" w:type="dxa"/>
          </w:tcPr>
          <w:p>
            <w:pPr>
              <w:pStyle w:val="TableParagraph"/>
              <w:spacing w:line="233" w:lineRule="exact"/>
              <w:ind w:right="71"/>
              <w:jc w:val="right"/>
              <w:rPr>
                <w:rFonts w:ascii="Bookman Old Style"/>
                <w:b w:val="0"/>
                <w:sz w:val="20"/>
              </w:rPr>
            </w:pPr>
            <w:r>
              <w:rPr>
                <w:rFonts w:ascii="Bookman Old Style"/>
                <w:b w:val="0"/>
                <w:w w:val="50"/>
                <w:sz w:val="20"/>
              </w:rPr>
              <w:t>20000</w:t>
            </w:r>
          </w:p>
        </w:tc>
        <w:tc>
          <w:tcPr>
            <w:tcW w:w="495" w:type="dxa"/>
          </w:tcPr>
          <w:p>
            <w:pPr>
              <w:pStyle w:val="TableParagraph"/>
              <w:rPr>
                <w:rFonts w:ascii="Times New Roman"/>
                <w:sz w:val="18"/>
              </w:rPr>
            </w:pPr>
          </w:p>
        </w:tc>
        <w:tc>
          <w:tcPr>
            <w:tcW w:w="565" w:type="dxa"/>
          </w:tcPr>
          <w:p>
            <w:pPr>
              <w:pStyle w:val="TableParagraph"/>
              <w:spacing w:line="233" w:lineRule="exact"/>
              <w:ind w:right="72"/>
              <w:jc w:val="right"/>
              <w:rPr>
                <w:rFonts w:ascii="Bookman Old Style"/>
                <w:b w:val="0"/>
                <w:sz w:val="20"/>
              </w:rPr>
            </w:pPr>
            <w:r>
              <w:rPr>
                <w:rFonts w:ascii="Bookman Old Style"/>
                <w:b w:val="0"/>
                <w:w w:val="50"/>
                <w:sz w:val="20"/>
              </w:rPr>
              <w:t>5000</w:t>
            </w:r>
          </w:p>
        </w:tc>
        <w:tc>
          <w:tcPr>
            <w:tcW w:w="664" w:type="dxa"/>
          </w:tcPr>
          <w:p>
            <w:pPr>
              <w:pStyle w:val="TableParagraph"/>
              <w:spacing w:line="233" w:lineRule="exact"/>
              <w:ind w:right="76"/>
              <w:jc w:val="right"/>
              <w:rPr>
                <w:rFonts w:ascii="Bookman Old Style"/>
                <w:b w:val="0"/>
                <w:sz w:val="20"/>
              </w:rPr>
            </w:pPr>
            <w:r>
              <w:rPr>
                <w:rFonts w:ascii="Bookman Old Style"/>
                <w:b w:val="0"/>
                <w:w w:val="50"/>
                <w:sz w:val="20"/>
              </w:rPr>
              <w:t>30000</w:t>
            </w:r>
          </w:p>
        </w:tc>
        <w:tc>
          <w:tcPr>
            <w:tcW w:w="1016" w:type="dxa"/>
          </w:tcPr>
          <w:p>
            <w:pPr>
              <w:pStyle w:val="TableParagraph"/>
              <w:spacing w:before="5"/>
              <w:ind w:right="74"/>
              <w:jc w:val="right"/>
              <w:rPr>
                <w:rFonts w:ascii="Times New Roman"/>
                <w:b/>
                <w:sz w:val="20"/>
              </w:rPr>
            </w:pPr>
            <w:r>
              <w:rPr>
                <w:rFonts w:ascii="Times New Roman"/>
                <w:b/>
                <w:w w:val="65"/>
                <w:sz w:val="20"/>
              </w:rPr>
              <w:t>255000</w:t>
            </w:r>
          </w:p>
        </w:tc>
      </w:tr>
    </w:tbl>
    <w:p>
      <w:pPr>
        <w:spacing w:after="0"/>
        <w:jc w:val="right"/>
        <w:rPr>
          <w:rFonts w:ascii="Times New Roman"/>
          <w:sz w:val="20"/>
        </w:rPr>
        <w:sectPr>
          <w:pgSz w:w="16840" w:h="11910" w:orient="landscape"/>
          <w:pgMar w:header="0" w:footer="923" w:top="1100" w:bottom="1120" w:left="1240" w:right="1220"/>
        </w:sectPr>
      </w:pPr>
    </w:p>
    <w:p>
      <w:pPr>
        <w:pStyle w:val="Heading1"/>
        <w:numPr>
          <w:ilvl w:val="0"/>
          <w:numId w:val="48"/>
        </w:numPr>
        <w:tabs>
          <w:tab w:pos="553" w:val="left" w:leader="none"/>
          <w:tab w:pos="554" w:val="left" w:leader="none"/>
        </w:tabs>
        <w:spacing w:line="240" w:lineRule="auto" w:before="75" w:after="0"/>
        <w:ind w:left="553" w:right="0" w:hanging="452"/>
        <w:jc w:val="left"/>
      </w:pPr>
      <w:r>
        <w:rPr/>
        <w:t>ANEXOS</w:t>
      </w:r>
    </w:p>
    <w:p>
      <w:pPr>
        <w:pStyle w:val="BodyText"/>
        <w:rPr>
          <w:rFonts w:ascii="Times New Roman"/>
          <w:b/>
          <w:sz w:val="34"/>
        </w:rPr>
      </w:pPr>
    </w:p>
    <w:p>
      <w:pPr>
        <w:spacing w:before="217"/>
        <w:ind w:left="164" w:right="0" w:firstLine="0"/>
        <w:jc w:val="left"/>
        <w:rPr>
          <w:sz w:val="22"/>
        </w:rPr>
      </w:pPr>
      <w:r>
        <w:rPr>
          <w:sz w:val="22"/>
        </w:rPr>
        <w:t>Formulación Participativa ( Listas y fotografías)</w:t>
      </w:r>
    </w:p>
    <w:sectPr>
      <w:footerReference w:type="default" r:id="rId37"/>
      <w:pgSz w:w="11910" w:h="16840"/>
      <w:pgMar w:footer="922" w:header="0" w:top="1360" w:bottom="1120" w:left="160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Cambria">
    <w:altName w:val="Cambria"/>
    <w:charset w:val="0"/>
    <w:family w:val="roman"/>
    <w:pitch w:val="variable"/>
  </w:font>
  <w:font w:name="Bookman Old Style">
    <w:altName w:val="Bookman Old Styl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25.619995pt;margin-top:780.799988pt;width:15.3pt;height:13.05pt;mso-position-horizontal-relative:page;mso-position-vertical-relative:page;z-index:-263803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757.960022pt;margin-top:534.176025pt;width:15.3pt;height:13.05pt;mso-position-horizontal-relative:page;mso-position-vertical-relative:page;z-index:-263802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179993pt;margin-top:780.799988pt;width:13.3pt;height:13.05pt;mso-position-horizontal-relative:page;mso-position-vertical-relative:page;z-index:-26380185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6"/>
      <w:numFmt w:val="decimal"/>
      <w:lvlText w:val="%1"/>
      <w:lvlJc w:val="left"/>
      <w:pPr>
        <w:ind w:left="1818" w:hanging="737"/>
        <w:jc w:val="left"/>
      </w:pPr>
      <w:rPr>
        <w:rFonts w:hint="default"/>
        <w:lang w:val="es-ES" w:eastAsia="es-ES" w:bidi="es-ES"/>
      </w:rPr>
    </w:lvl>
    <w:lvl w:ilvl="1">
      <w:start w:val="3"/>
      <w:numFmt w:val="decimal"/>
      <w:lvlText w:val="%1.%2"/>
      <w:lvlJc w:val="left"/>
      <w:pPr>
        <w:ind w:left="1818" w:hanging="737"/>
        <w:jc w:val="left"/>
      </w:pPr>
      <w:rPr>
        <w:rFonts w:hint="default"/>
        <w:lang w:val="es-ES" w:eastAsia="es-ES" w:bidi="es-ES"/>
      </w:rPr>
    </w:lvl>
    <w:lvl w:ilvl="2">
      <w:start w:val="1"/>
      <w:numFmt w:val="decimal"/>
      <w:lvlText w:val="%1.%2.%3."/>
      <w:lvlJc w:val="left"/>
      <w:pPr>
        <w:ind w:left="1818" w:hanging="737"/>
        <w:jc w:val="left"/>
      </w:pPr>
      <w:rPr>
        <w:rFonts w:hint="default" w:ascii="Arial" w:hAnsi="Arial" w:eastAsia="Arial" w:cs="Arial"/>
        <w:b/>
        <w:bCs/>
        <w:spacing w:val="-6"/>
        <w:w w:val="99"/>
        <w:sz w:val="24"/>
        <w:szCs w:val="24"/>
        <w:lang w:val="es-ES" w:eastAsia="es-ES" w:bidi="es-ES"/>
      </w:rPr>
    </w:lvl>
    <w:lvl w:ilvl="3">
      <w:start w:val="1"/>
      <w:numFmt w:val="decimal"/>
      <w:lvlText w:val="%1.%2.%3.%4."/>
      <w:lvlJc w:val="left"/>
      <w:pPr>
        <w:ind w:left="2162" w:hanging="1080"/>
        <w:jc w:val="left"/>
      </w:pPr>
      <w:rPr>
        <w:rFonts w:hint="default"/>
        <w:b/>
        <w:bCs/>
        <w:spacing w:val="-3"/>
        <w:w w:val="100"/>
        <w:lang w:val="es-ES" w:eastAsia="es-ES" w:bidi="es-ES"/>
      </w:rPr>
    </w:lvl>
    <w:lvl w:ilvl="4">
      <w:start w:val="0"/>
      <w:numFmt w:val="bullet"/>
      <w:lvlText w:val="•"/>
      <w:lvlJc w:val="left"/>
      <w:pPr>
        <w:ind w:left="5108" w:hanging="1080"/>
      </w:pPr>
      <w:rPr>
        <w:rFonts w:hint="default"/>
        <w:lang w:val="es-ES" w:eastAsia="es-ES" w:bidi="es-ES"/>
      </w:rPr>
    </w:lvl>
    <w:lvl w:ilvl="5">
      <w:start w:val="0"/>
      <w:numFmt w:val="bullet"/>
      <w:lvlText w:val="•"/>
      <w:lvlJc w:val="left"/>
      <w:pPr>
        <w:ind w:left="6091" w:hanging="1080"/>
      </w:pPr>
      <w:rPr>
        <w:rFonts w:hint="default"/>
        <w:lang w:val="es-ES" w:eastAsia="es-ES" w:bidi="es-ES"/>
      </w:rPr>
    </w:lvl>
    <w:lvl w:ilvl="6">
      <w:start w:val="0"/>
      <w:numFmt w:val="bullet"/>
      <w:lvlText w:val="•"/>
      <w:lvlJc w:val="left"/>
      <w:pPr>
        <w:ind w:left="7074" w:hanging="1080"/>
      </w:pPr>
      <w:rPr>
        <w:rFonts w:hint="default"/>
        <w:lang w:val="es-ES" w:eastAsia="es-ES" w:bidi="es-ES"/>
      </w:rPr>
    </w:lvl>
    <w:lvl w:ilvl="7">
      <w:start w:val="0"/>
      <w:numFmt w:val="bullet"/>
      <w:lvlText w:val="•"/>
      <w:lvlJc w:val="left"/>
      <w:pPr>
        <w:ind w:left="8057" w:hanging="1080"/>
      </w:pPr>
      <w:rPr>
        <w:rFonts w:hint="default"/>
        <w:lang w:val="es-ES" w:eastAsia="es-ES" w:bidi="es-ES"/>
      </w:rPr>
    </w:lvl>
    <w:lvl w:ilvl="8">
      <w:start w:val="0"/>
      <w:numFmt w:val="bullet"/>
      <w:lvlText w:val="•"/>
      <w:lvlJc w:val="left"/>
      <w:pPr>
        <w:ind w:left="9040" w:hanging="1080"/>
      </w:pPr>
      <w:rPr>
        <w:rFonts w:hint="default"/>
        <w:lang w:val="es-ES" w:eastAsia="es-ES" w:bidi="es-ES"/>
      </w:rPr>
    </w:lvl>
  </w:abstractNum>
  <w:abstractNum w:abstractNumId="49">
    <w:multiLevelType w:val="hybridMultilevel"/>
    <w:lvl w:ilvl="0">
      <w:start w:val="0"/>
      <w:numFmt w:val="bullet"/>
      <w:lvlText w:val="-"/>
      <w:lvlJc w:val="left"/>
      <w:pPr>
        <w:ind w:left="1802" w:hanging="360"/>
      </w:pPr>
      <w:rPr>
        <w:rFonts w:hint="default" w:ascii="Calibri" w:hAnsi="Calibri" w:eastAsia="Calibri" w:cs="Calibri"/>
        <w:spacing w:val="-4"/>
        <w:w w:val="99"/>
        <w:sz w:val="24"/>
        <w:szCs w:val="24"/>
        <w:lang w:val="es-ES" w:eastAsia="es-ES" w:bidi="es-ES"/>
      </w:rPr>
    </w:lvl>
    <w:lvl w:ilvl="1">
      <w:start w:val="0"/>
      <w:numFmt w:val="bullet"/>
      <w:lvlText w:val="•"/>
      <w:lvlJc w:val="left"/>
      <w:pPr>
        <w:ind w:left="2720" w:hanging="360"/>
      </w:pPr>
      <w:rPr>
        <w:rFonts w:hint="default"/>
        <w:lang w:val="es-ES" w:eastAsia="es-ES" w:bidi="es-ES"/>
      </w:rPr>
    </w:lvl>
    <w:lvl w:ilvl="2">
      <w:start w:val="0"/>
      <w:numFmt w:val="bullet"/>
      <w:lvlText w:val="•"/>
      <w:lvlJc w:val="left"/>
      <w:pPr>
        <w:ind w:left="3641" w:hanging="360"/>
      </w:pPr>
      <w:rPr>
        <w:rFonts w:hint="default"/>
        <w:lang w:val="es-ES" w:eastAsia="es-ES" w:bidi="es-ES"/>
      </w:rPr>
    </w:lvl>
    <w:lvl w:ilvl="3">
      <w:start w:val="0"/>
      <w:numFmt w:val="bullet"/>
      <w:lvlText w:val="•"/>
      <w:lvlJc w:val="left"/>
      <w:pPr>
        <w:ind w:left="4561" w:hanging="360"/>
      </w:pPr>
      <w:rPr>
        <w:rFonts w:hint="default"/>
        <w:lang w:val="es-ES" w:eastAsia="es-ES" w:bidi="es-ES"/>
      </w:rPr>
    </w:lvl>
    <w:lvl w:ilvl="4">
      <w:start w:val="0"/>
      <w:numFmt w:val="bullet"/>
      <w:lvlText w:val="•"/>
      <w:lvlJc w:val="left"/>
      <w:pPr>
        <w:ind w:left="5482" w:hanging="360"/>
      </w:pPr>
      <w:rPr>
        <w:rFonts w:hint="default"/>
        <w:lang w:val="es-ES" w:eastAsia="es-ES" w:bidi="es-ES"/>
      </w:rPr>
    </w:lvl>
    <w:lvl w:ilvl="5">
      <w:start w:val="0"/>
      <w:numFmt w:val="bullet"/>
      <w:lvlText w:val="•"/>
      <w:lvlJc w:val="left"/>
      <w:pPr>
        <w:ind w:left="6403" w:hanging="360"/>
      </w:pPr>
      <w:rPr>
        <w:rFonts w:hint="default"/>
        <w:lang w:val="es-ES" w:eastAsia="es-ES" w:bidi="es-ES"/>
      </w:rPr>
    </w:lvl>
    <w:lvl w:ilvl="6">
      <w:start w:val="0"/>
      <w:numFmt w:val="bullet"/>
      <w:lvlText w:val="•"/>
      <w:lvlJc w:val="left"/>
      <w:pPr>
        <w:ind w:left="7323" w:hanging="360"/>
      </w:pPr>
      <w:rPr>
        <w:rFonts w:hint="default"/>
        <w:lang w:val="es-ES" w:eastAsia="es-ES" w:bidi="es-ES"/>
      </w:rPr>
    </w:lvl>
    <w:lvl w:ilvl="7">
      <w:start w:val="0"/>
      <w:numFmt w:val="bullet"/>
      <w:lvlText w:val="•"/>
      <w:lvlJc w:val="left"/>
      <w:pPr>
        <w:ind w:left="8244" w:hanging="360"/>
      </w:pPr>
      <w:rPr>
        <w:rFonts w:hint="default"/>
        <w:lang w:val="es-ES" w:eastAsia="es-ES" w:bidi="es-ES"/>
      </w:rPr>
    </w:lvl>
    <w:lvl w:ilvl="8">
      <w:start w:val="0"/>
      <w:numFmt w:val="bullet"/>
      <w:lvlText w:val="•"/>
      <w:lvlJc w:val="left"/>
      <w:pPr>
        <w:ind w:left="9165" w:hanging="360"/>
      </w:pPr>
      <w:rPr>
        <w:rFonts w:hint="default"/>
        <w:lang w:val="es-ES" w:eastAsia="es-ES" w:bidi="es-ES"/>
      </w:rPr>
    </w:lvl>
  </w:abstractNum>
  <w:abstractNum w:abstractNumId="48">
    <w:multiLevelType w:val="hybridMultilevel"/>
    <w:lvl w:ilvl="0">
      <w:start w:val="6"/>
      <w:numFmt w:val="decimal"/>
      <w:lvlText w:val="%1"/>
      <w:lvlJc w:val="left"/>
      <w:pPr>
        <w:ind w:left="1802" w:hanging="720"/>
        <w:jc w:val="left"/>
      </w:pPr>
      <w:rPr>
        <w:rFonts w:hint="default"/>
        <w:lang w:val="es-ES" w:eastAsia="es-ES" w:bidi="es-ES"/>
      </w:rPr>
    </w:lvl>
    <w:lvl w:ilvl="1">
      <w:start w:val="2"/>
      <w:numFmt w:val="decimal"/>
      <w:lvlText w:val="%1.%2"/>
      <w:lvlJc w:val="left"/>
      <w:pPr>
        <w:ind w:left="1802" w:hanging="720"/>
        <w:jc w:val="left"/>
      </w:pPr>
      <w:rPr>
        <w:rFonts w:hint="default"/>
        <w:lang w:val="es-ES" w:eastAsia="es-ES" w:bidi="es-ES"/>
      </w:rPr>
    </w:lvl>
    <w:lvl w:ilvl="2">
      <w:start w:val="1"/>
      <w:numFmt w:val="decimal"/>
      <w:lvlText w:val="%1.%2.%3."/>
      <w:lvlJc w:val="left"/>
      <w:pPr>
        <w:ind w:left="1802" w:hanging="720"/>
        <w:jc w:val="left"/>
      </w:pPr>
      <w:rPr>
        <w:rFonts w:hint="default" w:ascii="Arial" w:hAnsi="Arial" w:eastAsia="Arial" w:cs="Arial"/>
        <w:b/>
        <w:bCs/>
        <w:spacing w:val="-15"/>
        <w:w w:val="99"/>
        <w:sz w:val="24"/>
        <w:szCs w:val="24"/>
        <w:lang w:val="es-ES" w:eastAsia="es-ES" w:bidi="es-ES"/>
      </w:rPr>
    </w:lvl>
    <w:lvl w:ilvl="3">
      <w:start w:val="0"/>
      <w:numFmt w:val="bullet"/>
      <w:lvlText w:val="•"/>
      <w:lvlJc w:val="left"/>
      <w:pPr>
        <w:ind w:left="4561" w:hanging="720"/>
      </w:pPr>
      <w:rPr>
        <w:rFonts w:hint="default"/>
        <w:lang w:val="es-ES" w:eastAsia="es-ES" w:bidi="es-ES"/>
      </w:rPr>
    </w:lvl>
    <w:lvl w:ilvl="4">
      <w:start w:val="0"/>
      <w:numFmt w:val="bullet"/>
      <w:lvlText w:val="•"/>
      <w:lvlJc w:val="left"/>
      <w:pPr>
        <w:ind w:left="5482" w:hanging="720"/>
      </w:pPr>
      <w:rPr>
        <w:rFonts w:hint="default"/>
        <w:lang w:val="es-ES" w:eastAsia="es-ES" w:bidi="es-ES"/>
      </w:rPr>
    </w:lvl>
    <w:lvl w:ilvl="5">
      <w:start w:val="0"/>
      <w:numFmt w:val="bullet"/>
      <w:lvlText w:val="•"/>
      <w:lvlJc w:val="left"/>
      <w:pPr>
        <w:ind w:left="6403" w:hanging="720"/>
      </w:pPr>
      <w:rPr>
        <w:rFonts w:hint="default"/>
        <w:lang w:val="es-ES" w:eastAsia="es-ES" w:bidi="es-ES"/>
      </w:rPr>
    </w:lvl>
    <w:lvl w:ilvl="6">
      <w:start w:val="0"/>
      <w:numFmt w:val="bullet"/>
      <w:lvlText w:val="•"/>
      <w:lvlJc w:val="left"/>
      <w:pPr>
        <w:ind w:left="7323" w:hanging="720"/>
      </w:pPr>
      <w:rPr>
        <w:rFonts w:hint="default"/>
        <w:lang w:val="es-ES" w:eastAsia="es-ES" w:bidi="es-ES"/>
      </w:rPr>
    </w:lvl>
    <w:lvl w:ilvl="7">
      <w:start w:val="0"/>
      <w:numFmt w:val="bullet"/>
      <w:lvlText w:val="•"/>
      <w:lvlJc w:val="left"/>
      <w:pPr>
        <w:ind w:left="8244" w:hanging="720"/>
      </w:pPr>
      <w:rPr>
        <w:rFonts w:hint="default"/>
        <w:lang w:val="es-ES" w:eastAsia="es-ES" w:bidi="es-ES"/>
      </w:rPr>
    </w:lvl>
    <w:lvl w:ilvl="8">
      <w:start w:val="0"/>
      <w:numFmt w:val="bullet"/>
      <w:lvlText w:val="•"/>
      <w:lvlJc w:val="left"/>
      <w:pPr>
        <w:ind w:left="9165" w:hanging="720"/>
      </w:pPr>
      <w:rPr>
        <w:rFonts w:hint="default"/>
        <w:lang w:val="es-ES" w:eastAsia="es-ES" w:bidi="es-ES"/>
      </w:rPr>
    </w:lvl>
  </w:abstractNum>
  <w:abstractNum w:abstractNumId="47">
    <w:multiLevelType w:val="hybridMultilevel"/>
    <w:lvl w:ilvl="0">
      <w:start w:val="6"/>
      <w:numFmt w:val="decimal"/>
      <w:lvlText w:val="%1."/>
      <w:lvlJc w:val="left"/>
      <w:pPr>
        <w:ind w:left="1533" w:hanging="452"/>
        <w:jc w:val="right"/>
      </w:pPr>
      <w:rPr>
        <w:rFonts w:hint="default"/>
        <w:b/>
        <w:bCs/>
        <w:spacing w:val="0"/>
        <w:w w:val="99"/>
        <w:lang w:val="es-ES" w:eastAsia="es-ES" w:bidi="es-ES"/>
      </w:rPr>
    </w:lvl>
    <w:lvl w:ilvl="1">
      <w:start w:val="1"/>
      <w:numFmt w:val="decimal"/>
      <w:lvlText w:val="%1.%2."/>
      <w:lvlJc w:val="left"/>
      <w:pPr>
        <w:ind w:left="2085" w:hanging="720"/>
        <w:jc w:val="left"/>
      </w:pPr>
      <w:rPr>
        <w:rFonts w:hint="default" w:ascii="Arial" w:hAnsi="Arial" w:eastAsia="Arial" w:cs="Arial"/>
        <w:b/>
        <w:bCs/>
        <w:spacing w:val="-6"/>
        <w:w w:val="99"/>
        <w:sz w:val="24"/>
        <w:szCs w:val="24"/>
        <w:lang w:val="es-ES" w:eastAsia="es-ES" w:bidi="es-ES"/>
      </w:rPr>
    </w:lvl>
    <w:lvl w:ilvl="2">
      <w:start w:val="0"/>
      <w:numFmt w:val="bullet"/>
      <w:lvlText w:val="•"/>
      <w:lvlJc w:val="left"/>
      <w:pPr>
        <w:ind w:left="3071" w:hanging="720"/>
      </w:pPr>
      <w:rPr>
        <w:rFonts w:hint="default"/>
        <w:lang w:val="es-ES" w:eastAsia="es-ES" w:bidi="es-ES"/>
      </w:rPr>
    </w:lvl>
    <w:lvl w:ilvl="3">
      <w:start w:val="0"/>
      <w:numFmt w:val="bullet"/>
      <w:lvlText w:val="•"/>
      <w:lvlJc w:val="left"/>
      <w:pPr>
        <w:ind w:left="4063" w:hanging="720"/>
      </w:pPr>
      <w:rPr>
        <w:rFonts w:hint="default"/>
        <w:lang w:val="es-ES" w:eastAsia="es-ES" w:bidi="es-ES"/>
      </w:rPr>
    </w:lvl>
    <w:lvl w:ilvl="4">
      <w:start w:val="0"/>
      <w:numFmt w:val="bullet"/>
      <w:lvlText w:val="•"/>
      <w:lvlJc w:val="left"/>
      <w:pPr>
        <w:ind w:left="5055" w:hanging="720"/>
      </w:pPr>
      <w:rPr>
        <w:rFonts w:hint="default"/>
        <w:lang w:val="es-ES" w:eastAsia="es-ES" w:bidi="es-ES"/>
      </w:rPr>
    </w:lvl>
    <w:lvl w:ilvl="5">
      <w:start w:val="0"/>
      <w:numFmt w:val="bullet"/>
      <w:lvlText w:val="•"/>
      <w:lvlJc w:val="left"/>
      <w:pPr>
        <w:ind w:left="6047" w:hanging="720"/>
      </w:pPr>
      <w:rPr>
        <w:rFonts w:hint="default"/>
        <w:lang w:val="es-ES" w:eastAsia="es-ES" w:bidi="es-ES"/>
      </w:rPr>
    </w:lvl>
    <w:lvl w:ilvl="6">
      <w:start w:val="0"/>
      <w:numFmt w:val="bullet"/>
      <w:lvlText w:val="•"/>
      <w:lvlJc w:val="left"/>
      <w:pPr>
        <w:ind w:left="7039" w:hanging="720"/>
      </w:pPr>
      <w:rPr>
        <w:rFonts w:hint="default"/>
        <w:lang w:val="es-ES" w:eastAsia="es-ES" w:bidi="es-ES"/>
      </w:rPr>
    </w:lvl>
    <w:lvl w:ilvl="7">
      <w:start w:val="0"/>
      <w:numFmt w:val="bullet"/>
      <w:lvlText w:val="•"/>
      <w:lvlJc w:val="left"/>
      <w:pPr>
        <w:ind w:left="8030" w:hanging="720"/>
      </w:pPr>
      <w:rPr>
        <w:rFonts w:hint="default"/>
        <w:lang w:val="es-ES" w:eastAsia="es-ES" w:bidi="es-ES"/>
      </w:rPr>
    </w:lvl>
    <w:lvl w:ilvl="8">
      <w:start w:val="0"/>
      <w:numFmt w:val="bullet"/>
      <w:lvlText w:val="•"/>
      <w:lvlJc w:val="left"/>
      <w:pPr>
        <w:ind w:left="9022" w:hanging="720"/>
      </w:pPr>
      <w:rPr>
        <w:rFonts w:hint="default"/>
        <w:lang w:val="es-ES" w:eastAsia="es-ES" w:bidi="es-ES"/>
      </w:rPr>
    </w:lvl>
  </w:abstractNum>
  <w:abstractNum w:abstractNumId="46">
    <w:multiLevelType w:val="hybridMultilevel"/>
    <w:lvl w:ilvl="0">
      <w:start w:val="1"/>
      <w:numFmt w:val="decimal"/>
      <w:lvlText w:val="%1."/>
      <w:lvlJc w:val="left"/>
      <w:pPr>
        <w:ind w:left="1442" w:hanging="360"/>
        <w:jc w:val="left"/>
      </w:pPr>
      <w:rPr>
        <w:rFonts w:hint="default" w:ascii="Arial" w:hAnsi="Arial" w:eastAsia="Arial" w:cs="Arial"/>
        <w:spacing w:val="-19"/>
        <w:w w:val="99"/>
        <w:sz w:val="24"/>
        <w:szCs w:val="24"/>
        <w:lang w:val="es-ES" w:eastAsia="es-ES" w:bidi="es-ES"/>
      </w:rPr>
    </w:lvl>
    <w:lvl w:ilvl="1">
      <w:start w:val="0"/>
      <w:numFmt w:val="bullet"/>
      <w:lvlText w:val="•"/>
      <w:lvlJc w:val="left"/>
      <w:pPr>
        <w:ind w:left="2396" w:hanging="360"/>
      </w:pPr>
      <w:rPr>
        <w:rFonts w:hint="default"/>
        <w:lang w:val="es-ES" w:eastAsia="es-ES" w:bidi="es-ES"/>
      </w:rPr>
    </w:lvl>
    <w:lvl w:ilvl="2">
      <w:start w:val="0"/>
      <w:numFmt w:val="bullet"/>
      <w:lvlText w:val="•"/>
      <w:lvlJc w:val="left"/>
      <w:pPr>
        <w:ind w:left="3353" w:hanging="360"/>
      </w:pPr>
      <w:rPr>
        <w:rFonts w:hint="default"/>
        <w:lang w:val="es-ES" w:eastAsia="es-ES" w:bidi="es-ES"/>
      </w:rPr>
    </w:lvl>
    <w:lvl w:ilvl="3">
      <w:start w:val="0"/>
      <w:numFmt w:val="bullet"/>
      <w:lvlText w:val="•"/>
      <w:lvlJc w:val="left"/>
      <w:pPr>
        <w:ind w:left="4309" w:hanging="360"/>
      </w:pPr>
      <w:rPr>
        <w:rFonts w:hint="default"/>
        <w:lang w:val="es-ES" w:eastAsia="es-ES" w:bidi="es-ES"/>
      </w:rPr>
    </w:lvl>
    <w:lvl w:ilvl="4">
      <w:start w:val="0"/>
      <w:numFmt w:val="bullet"/>
      <w:lvlText w:val="•"/>
      <w:lvlJc w:val="left"/>
      <w:pPr>
        <w:ind w:left="5266" w:hanging="360"/>
      </w:pPr>
      <w:rPr>
        <w:rFonts w:hint="default"/>
        <w:lang w:val="es-ES" w:eastAsia="es-ES" w:bidi="es-ES"/>
      </w:rPr>
    </w:lvl>
    <w:lvl w:ilvl="5">
      <w:start w:val="0"/>
      <w:numFmt w:val="bullet"/>
      <w:lvlText w:val="•"/>
      <w:lvlJc w:val="left"/>
      <w:pPr>
        <w:ind w:left="6223" w:hanging="360"/>
      </w:pPr>
      <w:rPr>
        <w:rFonts w:hint="default"/>
        <w:lang w:val="es-ES" w:eastAsia="es-ES" w:bidi="es-ES"/>
      </w:rPr>
    </w:lvl>
    <w:lvl w:ilvl="6">
      <w:start w:val="0"/>
      <w:numFmt w:val="bullet"/>
      <w:lvlText w:val="•"/>
      <w:lvlJc w:val="left"/>
      <w:pPr>
        <w:ind w:left="7179" w:hanging="360"/>
      </w:pPr>
      <w:rPr>
        <w:rFonts w:hint="default"/>
        <w:lang w:val="es-ES" w:eastAsia="es-ES" w:bidi="es-ES"/>
      </w:rPr>
    </w:lvl>
    <w:lvl w:ilvl="7">
      <w:start w:val="0"/>
      <w:numFmt w:val="bullet"/>
      <w:lvlText w:val="•"/>
      <w:lvlJc w:val="left"/>
      <w:pPr>
        <w:ind w:left="8136" w:hanging="360"/>
      </w:pPr>
      <w:rPr>
        <w:rFonts w:hint="default"/>
        <w:lang w:val="es-ES" w:eastAsia="es-ES" w:bidi="es-ES"/>
      </w:rPr>
    </w:lvl>
    <w:lvl w:ilvl="8">
      <w:start w:val="0"/>
      <w:numFmt w:val="bullet"/>
      <w:lvlText w:val="•"/>
      <w:lvlJc w:val="left"/>
      <w:pPr>
        <w:ind w:left="9093" w:hanging="360"/>
      </w:pPr>
      <w:rPr>
        <w:rFonts w:hint="default"/>
        <w:lang w:val="es-ES" w:eastAsia="es-ES" w:bidi="es-ES"/>
      </w:rPr>
    </w:lvl>
  </w:abstractNum>
  <w:abstractNum w:abstractNumId="45">
    <w:multiLevelType w:val="hybridMultilevel"/>
    <w:lvl w:ilvl="0">
      <w:start w:val="5"/>
      <w:numFmt w:val="decimal"/>
      <w:lvlText w:val="%1"/>
      <w:lvlJc w:val="left"/>
      <w:pPr>
        <w:ind w:left="1802" w:hanging="720"/>
        <w:jc w:val="left"/>
      </w:pPr>
      <w:rPr>
        <w:rFonts w:hint="default"/>
        <w:lang w:val="es-ES" w:eastAsia="es-ES" w:bidi="es-ES"/>
      </w:rPr>
    </w:lvl>
    <w:lvl w:ilvl="1">
      <w:start w:val="3"/>
      <w:numFmt w:val="decimal"/>
      <w:lvlText w:val="%1.%2"/>
      <w:lvlJc w:val="left"/>
      <w:pPr>
        <w:ind w:left="1802" w:hanging="720"/>
        <w:jc w:val="left"/>
      </w:pPr>
      <w:rPr>
        <w:rFonts w:hint="default"/>
        <w:lang w:val="es-ES" w:eastAsia="es-ES" w:bidi="es-ES"/>
      </w:rPr>
    </w:lvl>
    <w:lvl w:ilvl="2">
      <w:start w:val="1"/>
      <w:numFmt w:val="decimal"/>
      <w:lvlText w:val="%1.%2.%3."/>
      <w:lvlJc w:val="left"/>
      <w:pPr>
        <w:ind w:left="1802" w:hanging="720"/>
        <w:jc w:val="left"/>
      </w:pPr>
      <w:rPr>
        <w:rFonts w:hint="default" w:ascii="Arial" w:hAnsi="Arial" w:eastAsia="Arial" w:cs="Arial"/>
        <w:b/>
        <w:bCs/>
        <w:spacing w:val="-15"/>
        <w:w w:val="99"/>
        <w:sz w:val="24"/>
        <w:szCs w:val="24"/>
        <w:lang w:val="es-ES" w:eastAsia="es-ES" w:bidi="es-ES"/>
      </w:rPr>
    </w:lvl>
    <w:lvl w:ilvl="3">
      <w:start w:val="1"/>
      <w:numFmt w:val="decimal"/>
      <w:lvlText w:val="%4)"/>
      <w:lvlJc w:val="left"/>
      <w:pPr>
        <w:ind w:left="1802" w:hanging="360"/>
        <w:jc w:val="left"/>
      </w:pPr>
      <w:rPr>
        <w:rFonts w:hint="default" w:ascii="Arial" w:hAnsi="Arial" w:eastAsia="Arial" w:cs="Arial"/>
        <w:w w:val="99"/>
        <w:sz w:val="24"/>
        <w:szCs w:val="24"/>
        <w:lang w:val="es-ES" w:eastAsia="es-ES" w:bidi="es-ES"/>
      </w:rPr>
    </w:lvl>
    <w:lvl w:ilvl="4">
      <w:start w:val="0"/>
      <w:numFmt w:val="bullet"/>
      <w:lvlText w:val="•"/>
      <w:lvlJc w:val="left"/>
      <w:pPr>
        <w:ind w:left="5482" w:hanging="360"/>
      </w:pPr>
      <w:rPr>
        <w:rFonts w:hint="default"/>
        <w:lang w:val="es-ES" w:eastAsia="es-ES" w:bidi="es-ES"/>
      </w:rPr>
    </w:lvl>
    <w:lvl w:ilvl="5">
      <w:start w:val="0"/>
      <w:numFmt w:val="bullet"/>
      <w:lvlText w:val="•"/>
      <w:lvlJc w:val="left"/>
      <w:pPr>
        <w:ind w:left="6403" w:hanging="360"/>
      </w:pPr>
      <w:rPr>
        <w:rFonts w:hint="default"/>
        <w:lang w:val="es-ES" w:eastAsia="es-ES" w:bidi="es-ES"/>
      </w:rPr>
    </w:lvl>
    <w:lvl w:ilvl="6">
      <w:start w:val="0"/>
      <w:numFmt w:val="bullet"/>
      <w:lvlText w:val="•"/>
      <w:lvlJc w:val="left"/>
      <w:pPr>
        <w:ind w:left="7323" w:hanging="360"/>
      </w:pPr>
      <w:rPr>
        <w:rFonts w:hint="default"/>
        <w:lang w:val="es-ES" w:eastAsia="es-ES" w:bidi="es-ES"/>
      </w:rPr>
    </w:lvl>
    <w:lvl w:ilvl="7">
      <w:start w:val="0"/>
      <w:numFmt w:val="bullet"/>
      <w:lvlText w:val="•"/>
      <w:lvlJc w:val="left"/>
      <w:pPr>
        <w:ind w:left="8244" w:hanging="360"/>
      </w:pPr>
      <w:rPr>
        <w:rFonts w:hint="default"/>
        <w:lang w:val="es-ES" w:eastAsia="es-ES" w:bidi="es-ES"/>
      </w:rPr>
    </w:lvl>
    <w:lvl w:ilvl="8">
      <w:start w:val="0"/>
      <w:numFmt w:val="bullet"/>
      <w:lvlText w:val="•"/>
      <w:lvlJc w:val="left"/>
      <w:pPr>
        <w:ind w:left="9165" w:hanging="360"/>
      </w:pPr>
      <w:rPr>
        <w:rFonts w:hint="default"/>
        <w:lang w:val="es-ES" w:eastAsia="es-ES" w:bidi="es-ES"/>
      </w:rPr>
    </w:lvl>
  </w:abstractNum>
  <w:abstractNum w:abstractNumId="44">
    <w:multiLevelType w:val="hybridMultilevel"/>
    <w:lvl w:ilvl="0">
      <w:start w:val="1"/>
      <w:numFmt w:val="lowerLetter"/>
      <w:lvlText w:val="%1)"/>
      <w:lvlJc w:val="left"/>
      <w:pPr>
        <w:ind w:left="1442" w:hanging="360"/>
        <w:jc w:val="left"/>
      </w:pPr>
      <w:rPr>
        <w:rFonts w:hint="default"/>
        <w:w w:val="99"/>
        <w:lang w:val="es-ES" w:eastAsia="es-ES" w:bidi="es-ES"/>
      </w:rPr>
    </w:lvl>
    <w:lvl w:ilvl="1">
      <w:start w:val="0"/>
      <w:numFmt w:val="bullet"/>
      <w:lvlText w:val="•"/>
      <w:lvlJc w:val="left"/>
      <w:pPr>
        <w:ind w:left="2396" w:hanging="360"/>
      </w:pPr>
      <w:rPr>
        <w:rFonts w:hint="default"/>
        <w:lang w:val="es-ES" w:eastAsia="es-ES" w:bidi="es-ES"/>
      </w:rPr>
    </w:lvl>
    <w:lvl w:ilvl="2">
      <w:start w:val="0"/>
      <w:numFmt w:val="bullet"/>
      <w:lvlText w:val="•"/>
      <w:lvlJc w:val="left"/>
      <w:pPr>
        <w:ind w:left="3353" w:hanging="360"/>
      </w:pPr>
      <w:rPr>
        <w:rFonts w:hint="default"/>
        <w:lang w:val="es-ES" w:eastAsia="es-ES" w:bidi="es-ES"/>
      </w:rPr>
    </w:lvl>
    <w:lvl w:ilvl="3">
      <w:start w:val="0"/>
      <w:numFmt w:val="bullet"/>
      <w:lvlText w:val="•"/>
      <w:lvlJc w:val="left"/>
      <w:pPr>
        <w:ind w:left="4309" w:hanging="360"/>
      </w:pPr>
      <w:rPr>
        <w:rFonts w:hint="default"/>
        <w:lang w:val="es-ES" w:eastAsia="es-ES" w:bidi="es-ES"/>
      </w:rPr>
    </w:lvl>
    <w:lvl w:ilvl="4">
      <w:start w:val="0"/>
      <w:numFmt w:val="bullet"/>
      <w:lvlText w:val="•"/>
      <w:lvlJc w:val="left"/>
      <w:pPr>
        <w:ind w:left="5266" w:hanging="360"/>
      </w:pPr>
      <w:rPr>
        <w:rFonts w:hint="default"/>
        <w:lang w:val="es-ES" w:eastAsia="es-ES" w:bidi="es-ES"/>
      </w:rPr>
    </w:lvl>
    <w:lvl w:ilvl="5">
      <w:start w:val="0"/>
      <w:numFmt w:val="bullet"/>
      <w:lvlText w:val="•"/>
      <w:lvlJc w:val="left"/>
      <w:pPr>
        <w:ind w:left="6223" w:hanging="360"/>
      </w:pPr>
      <w:rPr>
        <w:rFonts w:hint="default"/>
        <w:lang w:val="es-ES" w:eastAsia="es-ES" w:bidi="es-ES"/>
      </w:rPr>
    </w:lvl>
    <w:lvl w:ilvl="6">
      <w:start w:val="0"/>
      <w:numFmt w:val="bullet"/>
      <w:lvlText w:val="•"/>
      <w:lvlJc w:val="left"/>
      <w:pPr>
        <w:ind w:left="7179" w:hanging="360"/>
      </w:pPr>
      <w:rPr>
        <w:rFonts w:hint="default"/>
        <w:lang w:val="es-ES" w:eastAsia="es-ES" w:bidi="es-ES"/>
      </w:rPr>
    </w:lvl>
    <w:lvl w:ilvl="7">
      <w:start w:val="0"/>
      <w:numFmt w:val="bullet"/>
      <w:lvlText w:val="•"/>
      <w:lvlJc w:val="left"/>
      <w:pPr>
        <w:ind w:left="8136" w:hanging="360"/>
      </w:pPr>
      <w:rPr>
        <w:rFonts w:hint="default"/>
        <w:lang w:val="es-ES" w:eastAsia="es-ES" w:bidi="es-ES"/>
      </w:rPr>
    </w:lvl>
    <w:lvl w:ilvl="8">
      <w:start w:val="0"/>
      <w:numFmt w:val="bullet"/>
      <w:lvlText w:val="•"/>
      <w:lvlJc w:val="left"/>
      <w:pPr>
        <w:ind w:left="9093" w:hanging="360"/>
      </w:pPr>
      <w:rPr>
        <w:rFonts w:hint="default"/>
        <w:lang w:val="es-ES" w:eastAsia="es-ES" w:bidi="es-ES"/>
      </w:rPr>
    </w:lvl>
  </w:abstractNum>
  <w:abstractNum w:abstractNumId="43">
    <w:multiLevelType w:val="hybridMultilevel"/>
    <w:lvl w:ilvl="0">
      <w:start w:val="1"/>
      <w:numFmt w:val="lowerLetter"/>
      <w:lvlText w:val="%1)"/>
      <w:lvlJc w:val="left"/>
      <w:pPr>
        <w:ind w:left="1802" w:hanging="360"/>
        <w:jc w:val="left"/>
      </w:pPr>
      <w:rPr>
        <w:rFonts w:hint="default" w:ascii="Arial" w:hAnsi="Arial" w:eastAsia="Arial" w:cs="Arial"/>
        <w:w w:val="99"/>
        <w:sz w:val="24"/>
        <w:szCs w:val="24"/>
        <w:lang w:val="es-ES" w:eastAsia="es-ES" w:bidi="es-ES"/>
      </w:rPr>
    </w:lvl>
    <w:lvl w:ilvl="1">
      <w:start w:val="0"/>
      <w:numFmt w:val="bullet"/>
      <w:lvlText w:val="•"/>
      <w:lvlJc w:val="left"/>
      <w:pPr>
        <w:ind w:left="2720" w:hanging="360"/>
      </w:pPr>
      <w:rPr>
        <w:rFonts w:hint="default"/>
        <w:lang w:val="es-ES" w:eastAsia="es-ES" w:bidi="es-ES"/>
      </w:rPr>
    </w:lvl>
    <w:lvl w:ilvl="2">
      <w:start w:val="0"/>
      <w:numFmt w:val="bullet"/>
      <w:lvlText w:val="•"/>
      <w:lvlJc w:val="left"/>
      <w:pPr>
        <w:ind w:left="3641" w:hanging="360"/>
      </w:pPr>
      <w:rPr>
        <w:rFonts w:hint="default"/>
        <w:lang w:val="es-ES" w:eastAsia="es-ES" w:bidi="es-ES"/>
      </w:rPr>
    </w:lvl>
    <w:lvl w:ilvl="3">
      <w:start w:val="0"/>
      <w:numFmt w:val="bullet"/>
      <w:lvlText w:val="•"/>
      <w:lvlJc w:val="left"/>
      <w:pPr>
        <w:ind w:left="4561" w:hanging="360"/>
      </w:pPr>
      <w:rPr>
        <w:rFonts w:hint="default"/>
        <w:lang w:val="es-ES" w:eastAsia="es-ES" w:bidi="es-ES"/>
      </w:rPr>
    </w:lvl>
    <w:lvl w:ilvl="4">
      <w:start w:val="0"/>
      <w:numFmt w:val="bullet"/>
      <w:lvlText w:val="•"/>
      <w:lvlJc w:val="left"/>
      <w:pPr>
        <w:ind w:left="5482" w:hanging="360"/>
      </w:pPr>
      <w:rPr>
        <w:rFonts w:hint="default"/>
        <w:lang w:val="es-ES" w:eastAsia="es-ES" w:bidi="es-ES"/>
      </w:rPr>
    </w:lvl>
    <w:lvl w:ilvl="5">
      <w:start w:val="0"/>
      <w:numFmt w:val="bullet"/>
      <w:lvlText w:val="•"/>
      <w:lvlJc w:val="left"/>
      <w:pPr>
        <w:ind w:left="6403" w:hanging="360"/>
      </w:pPr>
      <w:rPr>
        <w:rFonts w:hint="default"/>
        <w:lang w:val="es-ES" w:eastAsia="es-ES" w:bidi="es-ES"/>
      </w:rPr>
    </w:lvl>
    <w:lvl w:ilvl="6">
      <w:start w:val="0"/>
      <w:numFmt w:val="bullet"/>
      <w:lvlText w:val="•"/>
      <w:lvlJc w:val="left"/>
      <w:pPr>
        <w:ind w:left="7323" w:hanging="360"/>
      </w:pPr>
      <w:rPr>
        <w:rFonts w:hint="default"/>
        <w:lang w:val="es-ES" w:eastAsia="es-ES" w:bidi="es-ES"/>
      </w:rPr>
    </w:lvl>
    <w:lvl w:ilvl="7">
      <w:start w:val="0"/>
      <w:numFmt w:val="bullet"/>
      <w:lvlText w:val="•"/>
      <w:lvlJc w:val="left"/>
      <w:pPr>
        <w:ind w:left="8244" w:hanging="360"/>
      </w:pPr>
      <w:rPr>
        <w:rFonts w:hint="default"/>
        <w:lang w:val="es-ES" w:eastAsia="es-ES" w:bidi="es-ES"/>
      </w:rPr>
    </w:lvl>
    <w:lvl w:ilvl="8">
      <w:start w:val="0"/>
      <w:numFmt w:val="bullet"/>
      <w:lvlText w:val="•"/>
      <w:lvlJc w:val="left"/>
      <w:pPr>
        <w:ind w:left="9165" w:hanging="360"/>
      </w:pPr>
      <w:rPr>
        <w:rFonts w:hint="default"/>
        <w:lang w:val="es-ES" w:eastAsia="es-ES" w:bidi="es-ES"/>
      </w:rPr>
    </w:lvl>
  </w:abstractNum>
  <w:abstractNum w:abstractNumId="42">
    <w:multiLevelType w:val="hybridMultilevel"/>
    <w:lvl w:ilvl="0">
      <w:start w:val="1"/>
      <w:numFmt w:val="decimal"/>
      <w:lvlText w:val="%1)"/>
      <w:lvlJc w:val="left"/>
      <w:pPr>
        <w:ind w:left="1802" w:hanging="360"/>
        <w:jc w:val="left"/>
      </w:pPr>
      <w:rPr>
        <w:rFonts w:hint="default" w:ascii="Arial" w:hAnsi="Arial" w:eastAsia="Arial" w:cs="Arial"/>
        <w:w w:val="99"/>
        <w:sz w:val="24"/>
        <w:szCs w:val="24"/>
        <w:lang w:val="es-ES" w:eastAsia="es-ES" w:bidi="es-ES"/>
      </w:rPr>
    </w:lvl>
    <w:lvl w:ilvl="1">
      <w:start w:val="0"/>
      <w:numFmt w:val="bullet"/>
      <w:lvlText w:val="•"/>
      <w:lvlJc w:val="left"/>
      <w:pPr>
        <w:ind w:left="2720" w:hanging="360"/>
      </w:pPr>
      <w:rPr>
        <w:rFonts w:hint="default"/>
        <w:lang w:val="es-ES" w:eastAsia="es-ES" w:bidi="es-ES"/>
      </w:rPr>
    </w:lvl>
    <w:lvl w:ilvl="2">
      <w:start w:val="0"/>
      <w:numFmt w:val="bullet"/>
      <w:lvlText w:val="•"/>
      <w:lvlJc w:val="left"/>
      <w:pPr>
        <w:ind w:left="3641" w:hanging="360"/>
      </w:pPr>
      <w:rPr>
        <w:rFonts w:hint="default"/>
        <w:lang w:val="es-ES" w:eastAsia="es-ES" w:bidi="es-ES"/>
      </w:rPr>
    </w:lvl>
    <w:lvl w:ilvl="3">
      <w:start w:val="0"/>
      <w:numFmt w:val="bullet"/>
      <w:lvlText w:val="•"/>
      <w:lvlJc w:val="left"/>
      <w:pPr>
        <w:ind w:left="4561" w:hanging="360"/>
      </w:pPr>
      <w:rPr>
        <w:rFonts w:hint="default"/>
        <w:lang w:val="es-ES" w:eastAsia="es-ES" w:bidi="es-ES"/>
      </w:rPr>
    </w:lvl>
    <w:lvl w:ilvl="4">
      <w:start w:val="0"/>
      <w:numFmt w:val="bullet"/>
      <w:lvlText w:val="•"/>
      <w:lvlJc w:val="left"/>
      <w:pPr>
        <w:ind w:left="5482" w:hanging="360"/>
      </w:pPr>
      <w:rPr>
        <w:rFonts w:hint="default"/>
        <w:lang w:val="es-ES" w:eastAsia="es-ES" w:bidi="es-ES"/>
      </w:rPr>
    </w:lvl>
    <w:lvl w:ilvl="5">
      <w:start w:val="0"/>
      <w:numFmt w:val="bullet"/>
      <w:lvlText w:val="•"/>
      <w:lvlJc w:val="left"/>
      <w:pPr>
        <w:ind w:left="6403" w:hanging="360"/>
      </w:pPr>
      <w:rPr>
        <w:rFonts w:hint="default"/>
        <w:lang w:val="es-ES" w:eastAsia="es-ES" w:bidi="es-ES"/>
      </w:rPr>
    </w:lvl>
    <w:lvl w:ilvl="6">
      <w:start w:val="0"/>
      <w:numFmt w:val="bullet"/>
      <w:lvlText w:val="•"/>
      <w:lvlJc w:val="left"/>
      <w:pPr>
        <w:ind w:left="7323" w:hanging="360"/>
      </w:pPr>
      <w:rPr>
        <w:rFonts w:hint="default"/>
        <w:lang w:val="es-ES" w:eastAsia="es-ES" w:bidi="es-ES"/>
      </w:rPr>
    </w:lvl>
    <w:lvl w:ilvl="7">
      <w:start w:val="0"/>
      <w:numFmt w:val="bullet"/>
      <w:lvlText w:val="•"/>
      <w:lvlJc w:val="left"/>
      <w:pPr>
        <w:ind w:left="8244" w:hanging="360"/>
      </w:pPr>
      <w:rPr>
        <w:rFonts w:hint="default"/>
        <w:lang w:val="es-ES" w:eastAsia="es-ES" w:bidi="es-ES"/>
      </w:rPr>
    </w:lvl>
    <w:lvl w:ilvl="8">
      <w:start w:val="0"/>
      <w:numFmt w:val="bullet"/>
      <w:lvlText w:val="•"/>
      <w:lvlJc w:val="left"/>
      <w:pPr>
        <w:ind w:left="9165" w:hanging="360"/>
      </w:pPr>
      <w:rPr>
        <w:rFonts w:hint="default"/>
        <w:lang w:val="es-ES" w:eastAsia="es-ES" w:bidi="es-ES"/>
      </w:rPr>
    </w:lvl>
  </w:abstractNum>
  <w:abstractNum w:abstractNumId="41">
    <w:multiLevelType w:val="hybridMultilevel"/>
    <w:lvl w:ilvl="0">
      <w:start w:val="1"/>
      <w:numFmt w:val="decimal"/>
      <w:lvlText w:val="%1."/>
      <w:lvlJc w:val="left"/>
      <w:pPr>
        <w:ind w:left="825" w:hanging="360"/>
        <w:jc w:val="left"/>
      </w:pPr>
      <w:rPr>
        <w:rFonts w:hint="default" w:ascii="Calibri" w:hAnsi="Calibri" w:eastAsia="Calibri" w:cs="Calibri"/>
        <w:w w:val="100"/>
        <w:sz w:val="22"/>
        <w:szCs w:val="22"/>
        <w:lang w:val="es-ES" w:eastAsia="es-ES" w:bidi="es-ES"/>
      </w:rPr>
    </w:lvl>
    <w:lvl w:ilvl="1">
      <w:start w:val="0"/>
      <w:numFmt w:val="bullet"/>
      <w:lvlText w:val="•"/>
      <w:lvlJc w:val="left"/>
      <w:pPr>
        <w:ind w:left="1148" w:hanging="360"/>
      </w:pPr>
      <w:rPr>
        <w:rFonts w:hint="default"/>
        <w:lang w:val="es-ES" w:eastAsia="es-ES" w:bidi="es-ES"/>
      </w:rPr>
    </w:lvl>
    <w:lvl w:ilvl="2">
      <w:start w:val="0"/>
      <w:numFmt w:val="bullet"/>
      <w:lvlText w:val="•"/>
      <w:lvlJc w:val="left"/>
      <w:pPr>
        <w:ind w:left="1476" w:hanging="360"/>
      </w:pPr>
      <w:rPr>
        <w:rFonts w:hint="default"/>
        <w:lang w:val="es-ES" w:eastAsia="es-ES" w:bidi="es-ES"/>
      </w:rPr>
    </w:lvl>
    <w:lvl w:ilvl="3">
      <w:start w:val="0"/>
      <w:numFmt w:val="bullet"/>
      <w:lvlText w:val="•"/>
      <w:lvlJc w:val="left"/>
      <w:pPr>
        <w:ind w:left="1804" w:hanging="360"/>
      </w:pPr>
      <w:rPr>
        <w:rFonts w:hint="default"/>
        <w:lang w:val="es-ES" w:eastAsia="es-ES" w:bidi="es-ES"/>
      </w:rPr>
    </w:lvl>
    <w:lvl w:ilvl="4">
      <w:start w:val="0"/>
      <w:numFmt w:val="bullet"/>
      <w:lvlText w:val="•"/>
      <w:lvlJc w:val="left"/>
      <w:pPr>
        <w:ind w:left="2132" w:hanging="360"/>
      </w:pPr>
      <w:rPr>
        <w:rFonts w:hint="default"/>
        <w:lang w:val="es-ES" w:eastAsia="es-ES" w:bidi="es-ES"/>
      </w:rPr>
    </w:lvl>
    <w:lvl w:ilvl="5">
      <w:start w:val="0"/>
      <w:numFmt w:val="bullet"/>
      <w:lvlText w:val="•"/>
      <w:lvlJc w:val="left"/>
      <w:pPr>
        <w:ind w:left="2461" w:hanging="360"/>
      </w:pPr>
      <w:rPr>
        <w:rFonts w:hint="default"/>
        <w:lang w:val="es-ES" w:eastAsia="es-ES" w:bidi="es-ES"/>
      </w:rPr>
    </w:lvl>
    <w:lvl w:ilvl="6">
      <w:start w:val="0"/>
      <w:numFmt w:val="bullet"/>
      <w:lvlText w:val="•"/>
      <w:lvlJc w:val="left"/>
      <w:pPr>
        <w:ind w:left="2789" w:hanging="360"/>
      </w:pPr>
      <w:rPr>
        <w:rFonts w:hint="default"/>
        <w:lang w:val="es-ES" w:eastAsia="es-ES" w:bidi="es-ES"/>
      </w:rPr>
    </w:lvl>
    <w:lvl w:ilvl="7">
      <w:start w:val="0"/>
      <w:numFmt w:val="bullet"/>
      <w:lvlText w:val="•"/>
      <w:lvlJc w:val="left"/>
      <w:pPr>
        <w:ind w:left="3117" w:hanging="360"/>
      </w:pPr>
      <w:rPr>
        <w:rFonts w:hint="default"/>
        <w:lang w:val="es-ES" w:eastAsia="es-ES" w:bidi="es-ES"/>
      </w:rPr>
    </w:lvl>
    <w:lvl w:ilvl="8">
      <w:start w:val="0"/>
      <w:numFmt w:val="bullet"/>
      <w:lvlText w:val="•"/>
      <w:lvlJc w:val="left"/>
      <w:pPr>
        <w:ind w:left="3445" w:hanging="360"/>
      </w:pPr>
      <w:rPr>
        <w:rFonts w:hint="default"/>
        <w:lang w:val="es-ES" w:eastAsia="es-ES" w:bidi="es-ES"/>
      </w:rPr>
    </w:lvl>
  </w:abstractNum>
  <w:abstractNum w:abstractNumId="40">
    <w:multiLevelType w:val="hybridMultilevel"/>
    <w:lvl w:ilvl="0">
      <w:start w:val="1"/>
      <w:numFmt w:val="decimal"/>
      <w:lvlText w:val="%1."/>
      <w:lvlJc w:val="left"/>
      <w:pPr>
        <w:ind w:left="107" w:hanging="170"/>
        <w:jc w:val="left"/>
      </w:pPr>
      <w:rPr>
        <w:rFonts w:hint="default" w:ascii="Calibri" w:hAnsi="Calibri" w:eastAsia="Calibri" w:cs="Calibri"/>
        <w:spacing w:val="-4"/>
        <w:w w:val="100"/>
        <w:sz w:val="20"/>
        <w:szCs w:val="20"/>
        <w:lang w:val="es-ES" w:eastAsia="es-ES" w:bidi="es-ES"/>
      </w:rPr>
    </w:lvl>
    <w:lvl w:ilvl="1">
      <w:start w:val="0"/>
      <w:numFmt w:val="bullet"/>
      <w:lvlText w:val="•"/>
      <w:lvlJc w:val="left"/>
      <w:pPr>
        <w:ind w:left="669" w:hanging="170"/>
      </w:pPr>
      <w:rPr>
        <w:rFonts w:hint="default"/>
        <w:lang w:val="es-ES" w:eastAsia="es-ES" w:bidi="es-ES"/>
      </w:rPr>
    </w:lvl>
    <w:lvl w:ilvl="2">
      <w:start w:val="0"/>
      <w:numFmt w:val="bullet"/>
      <w:lvlText w:val="•"/>
      <w:lvlJc w:val="left"/>
      <w:pPr>
        <w:ind w:left="1239" w:hanging="170"/>
      </w:pPr>
      <w:rPr>
        <w:rFonts w:hint="default"/>
        <w:lang w:val="es-ES" w:eastAsia="es-ES" w:bidi="es-ES"/>
      </w:rPr>
    </w:lvl>
    <w:lvl w:ilvl="3">
      <w:start w:val="0"/>
      <w:numFmt w:val="bullet"/>
      <w:lvlText w:val="•"/>
      <w:lvlJc w:val="left"/>
      <w:pPr>
        <w:ind w:left="1809" w:hanging="170"/>
      </w:pPr>
      <w:rPr>
        <w:rFonts w:hint="default"/>
        <w:lang w:val="es-ES" w:eastAsia="es-ES" w:bidi="es-ES"/>
      </w:rPr>
    </w:lvl>
    <w:lvl w:ilvl="4">
      <w:start w:val="0"/>
      <w:numFmt w:val="bullet"/>
      <w:lvlText w:val="•"/>
      <w:lvlJc w:val="left"/>
      <w:pPr>
        <w:ind w:left="2379" w:hanging="170"/>
      </w:pPr>
      <w:rPr>
        <w:rFonts w:hint="default"/>
        <w:lang w:val="es-ES" w:eastAsia="es-ES" w:bidi="es-ES"/>
      </w:rPr>
    </w:lvl>
    <w:lvl w:ilvl="5">
      <w:start w:val="0"/>
      <w:numFmt w:val="bullet"/>
      <w:lvlText w:val="•"/>
      <w:lvlJc w:val="left"/>
      <w:pPr>
        <w:ind w:left="2949" w:hanging="170"/>
      </w:pPr>
      <w:rPr>
        <w:rFonts w:hint="default"/>
        <w:lang w:val="es-ES" w:eastAsia="es-ES" w:bidi="es-ES"/>
      </w:rPr>
    </w:lvl>
    <w:lvl w:ilvl="6">
      <w:start w:val="0"/>
      <w:numFmt w:val="bullet"/>
      <w:lvlText w:val="•"/>
      <w:lvlJc w:val="left"/>
      <w:pPr>
        <w:ind w:left="3519" w:hanging="170"/>
      </w:pPr>
      <w:rPr>
        <w:rFonts w:hint="default"/>
        <w:lang w:val="es-ES" w:eastAsia="es-ES" w:bidi="es-ES"/>
      </w:rPr>
    </w:lvl>
    <w:lvl w:ilvl="7">
      <w:start w:val="0"/>
      <w:numFmt w:val="bullet"/>
      <w:lvlText w:val="•"/>
      <w:lvlJc w:val="left"/>
      <w:pPr>
        <w:ind w:left="4089" w:hanging="170"/>
      </w:pPr>
      <w:rPr>
        <w:rFonts w:hint="default"/>
        <w:lang w:val="es-ES" w:eastAsia="es-ES" w:bidi="es-ES"/>
      </w:rPr>
    </w:lvl>
    <w:lvl w:ilvl="8">
      <w:start w:val="0"/>
      <w:numFmt w:val="bullet"/>
      <w:lvlText w:val="•"/>
      <w:lvlJc w:val="left"/>
      <w:pPr>
        <w:ind w:left="4659" w:hanging="170"/>
      </w:pPr>
      <w:rPr>
        <w:rFonts w:hint="default"/>
        <w:lang w:val="es-ES" w:eastAsia="es-ES" w:bidi="es-ES"/>
      </w:rPr>
    </w:lvl>
  </w:abstractNum>
  <w:abstractNum w:abstractNumId="39">
    <w:multiLevelType w:val="hybridMultilevel"/>
    <w:lvl w:ilvl="0">
      <w:start w:val="1"/>
      <w:numFmt w:val="decimal"/>
      <w:lvlText w:val="%1."/>
      <w:lvlJc w:val="left"/>
      <w:pPr>
        <w:ind w:left="462" w:hanging="358"/>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824" w:hanging="358"/>
      </w:pPr>
      <w:rPr>
        <w:rFonts w:hint="default"/>
        <w:lang w:val="es-ES" w:eastAsia="es-ES" w:bidi="es-ES"/>
      </w:rPr>
    </w:lvl>
    <w:lvl w:ilvl="2">
      <w:start w:val="0"/>
      <w:numFmt w:val="bullet"/>
      <w:lvlText w:val="•"/>
      <w:lvlJc w:val="left"/>
      <w:pPr>
        <w:ind w:left="1188" w:hanging="358"/>
      </w:pPr>
      <w:rPr>
        <w:rFonts w:hint="default"/>
        <w:lang w:val="es-ES" w:eastAsia="es-ES" w:bidi="es-ES"/>
      </w:rPr>
    </w:lvl>
    <w:lvl w:ilvl="3">
      <w:start w:val="0"/>
      <w:numFmt w:val="bullet"/>
      <w:lvlText w:val="•"/>
      <w:lvlJc w:val="left"/>
      <w:pPr>
        <w:ind w:left="1552" w:hanging="358"/>
      </w:pPr>
      <w:rPr>
        <w:rFonts w:hint="default"/>
        <w:lang w:val="es-ES" w:eastAsia="es-ES" w:bidi="es-ES"/>
      </w:rPr>
    </w:lvl>
    <w:lvl w:ilvl="4">
      <w:start w:val="0"/>
      <w:numFmt w:val="bullet"/>
      <w:lvlText w:val="•"/>
      <w:lvlJc w:val="left"/>
      <w:pPr>
        <w:ind w:left="1916" w:hanging="358"/>
      </w:pPr>
      <w:rPr>
        <w:rFonts w:hint="default"/>
        <w:lang w:val="es-ES" w:eastAsia="es-ES" w:bidi="es-ES"/>
      </w:rPr>
    </w:lvl>
    <w:lvl w:ilvl="5">
      <w:start w:val="0"/>
      <w:numFmt w:val="bullet"/>
      <w:lvlText w:val="•"/>
      <w:lvlJc w:val="left"/>
      <w:pPr>
        <w:ind w:left="2281" w:hanging="358"/>
      </w:pPr>
      <w:rPr>
        <w:rFonts w:hint="default"/>
        <w:lang w:val="es-ES" w:eastAsia="es-ES" w:bidi="es-ES"/>
      </w:rPr>
    </w:lvl>
    <w:lvl w:ilvl="6">
      <w:start w:val="0"/>
      <w:numFmt w:val="bullet"/>
      <w:lvlText w:val="•"/>
      <w:lvlJc w:val="left"/>
      <w:pPr>
        <w:ind w:left="2645" w:hanging="358"/>
      </w:pPr>
      <w:rPr>
        <w:rFonts w:hint="default"/>
        <w:lang w:val="es-ES" w:eastAsia="es-ES" w:bidi="es-ES"/>
      </w:rPr>
    </w:lvl>
    <w:lvl w:ilvl="7">
      <w:start w:val="0"/>
      <w:numFmt w:val="bullet"/>
      <w:lvlText w:val="•"/>
      <w:lvlJc w:val="left"/>
      <w:pPr>
        <w:ind w:left="3009" w:hanging="358"/>
      </w:pPr>
      <w:rPr>
        <w:rFonts w:hint="default"/>
        <w:lang w:val="es-ES" w:eastAsia="es-ES" w:bidi="es-ES"/>
      </w:rPr>
    </w:lvl>
    <w:lvl w:ilvl="8">
      <w:start w:val="0"/>
      <w:numFmt w:val="bullet"/>
      <w:lvlText w:val="•"/>
      <w:lvlJc w:val="left"/>
      <w:pPr>
        <w:ind w:left="3373" w:hanging="358"/>
      </w:pPr>
      <w:rPr>
        <w:rFonts w:hint="default"/>
        <w:lang w:val="es-ES" w:eastAsia="es-ES" w:bidi="es-ES"/>
      </w:rPr>
    </w:lvl>
  </w:abstractNum>
  <w:abstractNum w:abstractNumId="38">
    <w:multiLevelType w:val="hybridMultilevel"/>
    <w:lvl w:ilvl="0">
      <w:start w:val="1"/>
      <w:numFmt w:val="decimal"/>
      <w:lvlText w:val="%1."/>
      <w:lvlJc w:val="left"/>
      <w:pPr>
        <w:ind w:left="827"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317" w:hanging="360"/>
      </w:pPr>
      <w:rPr>
        <w:rFonts w:hint="default"/>
        <w:lang w:val="es-ES" w:eastAsia="es-ES" w:bidi="es-ES"/>
      </w:rPr>
    </w:lvl>
    <w:lvl w:ilvl="2">
      <w:start w:val="0"/>
      <w:numFmt w:val="bullet"/>
      <w:lvlText w:val="•"/>
      <w:lvlJc w:val="left"/>
      <w:pPr>
        <w:ind w:left="1815" w:hanging="360"/>
      </w:pPr>
      <w:rPr>
        <w:rFonts w:hint="default"/>
        <w:lang w:val="es-ES" w:eastAsia="es-ES" w:bidi="es-ES"/>
      </w:rPr>
    </w:lvl>
    <w:lvl w:ilvl="3">
      <w:start w:val="0"/>
      <w:numFmt w:val="bullet"/>
      <w:lvlText w:val="•"/>
      <w:lvlJc w:val="left"/>
      <w:pPr>
        <w:ind w:left="2313" w:hanging="360"/>
      </w:pPr>
      <w:rPr>
        <w:rFonts w:hint="default"/>
        <w:lang w:val="es-ES" w:eastAsia="es-ES" w:bidi="es-ES"/>
      </w:rPr>
    </w:lvl>
    <w:lvl w:ilvl="4">
      <w:start w:val="0"/>
      <w:numFmt w:val="bullet"/>
      <w:lvlText w:val="•"/>
      <w:lvlJc w:val="left"/>
      <w:pPr>
        <w:ind w:left="2811" w:hanging="360"/>
      </w:pPr>
      <w:rPr>
        <w:rFonts w:hint="default"/>
        <w:lang w:val="es-ES" w:eastAsia="es-ES" w:bidi="es-ES"/>
      </w:rPr>
    </w:lvl>
    <w:lvl w:ilvl="5">
      <w:start w:val="0"/>
      <w:numFmt w:val="bullet"/>
      <w:lvlText w:val="•"/>
      <w:lvlJc w:val="left"/>
      <w:pPr>
        <w:ind w:left="3309" w:hanging="360"/>
      </w:pPr>
      <w:rPr>
        <w:rFonts w:hint="default"/>
        <w:lang w:val="es-ES" w:eastAsia="es-ES" w:bidi="es-ES"/>
      </w:rPr>
    </w:lvl>
    <w:lvl w:ilvl="6">
      <w:start w:val="0"/>
      <w:numFmt w:val="bullet"/>
      <w:lvlText w:val="•"/>
      <w:lvlJc w:val="left"/>
      <w:pPr>
        <w:ind w:left="3807" w:hanging="360"/>
      </w:pPr>
      <w:rPr>
        <w:rFonts w:hint="default"/>
        <w:lang w:val="es-ES" w:eastAsia="es-ES" w:bidi="es-ES"/>
      </w:rPr>
    </w:lvl>
    <w:lvl w:ilvl="7">
      <w:start w:val="0"/>
      <w:numFmt w:val="bullet"/>
      <w:lvlText w:val="•"/>
      <w:lvlJc w:val="left"/>
      <w:pPr>
        <w:ind w:left="4305" w:hanging="360"/>
      </w:pPr>
      <w:rPr>
        <w:rFonts w:hint="default"/>
        <w:lang w:val="es-ES" w:eastAsia="es-ES" w:bidi="es-ES"/>
      </w:rPr>
    </w:lvl>
    <w:lvl w:ilvl="8">
      <w:start w:val="0"/>
      <w:numFmt w:val="bullet"/>
      <w:lvlText w:val="•"/>
      <w:lvlJc w:val="left"/>
      <w:pPr>
        <w:ind w:left="4803" w:hanging="360"/>
      </w:pPr>
      <w:rPr>
        <w:rFonts w:hint="default"/>
        <w:lang w:val="es-ES" w:eastAsia="es-ES" w:bidi="es-ES"/>
      </w:rPr>
    </w:lvl>
  </w:abstractNum>
  <w:abstractNum w:abstractNumId="37">
    <w:multiLevelType w:val="hybridMultilevel"/>
    <w:lvl w:ilvl="0">
      <w:start w:val="1"/>
      <w:numFmt w:val="decimal"/>
      <w:lvlText w:val="%1."/>
      <w:lvlJc w:val="left"/>
      <w:pPr>
        <w:ind w:left="828"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261" w:hanging="360"/>
      </w:pPr>
      <w:rPr>
        <w:rFonts w:hint="default"/>
        <w:lang w:val="es-ES" w:eastAsia="es-ES" w:bidi="es-ES"/>
      </w:rPr>
    </w:lvl>
    <w:lvl w:ilvl="2">
      <w:start w:val="0"/>
      <w:numFmt w:val="bullet"/>
      <w:lvlText w:val="•"/>
      <w:lvlJc w:val="left"/>
      <w:pPr>
        <w:ind w:left="1703" w:hanging="360"/>
      </w:pPr>
      <w:rPr>
        <w:rFonts w:hint="default"/>
        <w:lang w:val="es-ES" w:eastAsia="es-ES" w:bidi="es-ES"/>
      </w:rPr>
    </w:lvl>
    <w:lvl w:ilvl="3">
      <w:start w:val="0"/>
      <w:numFmt w:val="bullet"/>
      <w:lvlText w:val="•"/>
      <w:lvlJc w:val="left"/>
      <w:pPr>
        <w:ind w:left="2145" w:hanging="360"/>
      </w:pPr>
      <w:rPr>
        <w:rFonts w:hint="default"/>
        <w:lang w:val="es-ES" w:eastAsia="es-ES" w:bidi="es-ES"/>
      </w:rPr>
    </w:lvl>
    <w:lvl w:ilvl="4">
      <w:start w:val="0"/>
      <w:numFmt w:val="bullet"/>
      <w:lvlText w:val="•"/>
      <w:lvlJc w:val="left"/>
      <w:pPr>
        <w:ind w:left="2586" w:hanging="360"/>
      </w:pPr>
      <w:rPr>
        <w:rFonts w:hint="default"/>
        <w:lang w:val="es-ES" w:eastAsia="es-ES" w:bidi="es-ES"/>
      </w:rPr>
    </w:lvl>
    <w:lvl w:ilvl="5">
      <w:start w:val="0"/>
      <w:numFmt w:val="bullet"/>
      <w:lvlText w:val="•"/>
      <w:lvlJc w:val="left"/>
      <w:pPr>
        <w:ind w:left="3028" w:hanging="360"/>
      </w:pPr>
      <w:rPr>
        <w:rFonts w:hint="default"/>
        <w:lang w:val="es-ES" w:eastAsia="es-ES" w:bidi="es-ES"/>
      </w:rPr>
    </w:lvl>
    <w:lvl w:ilvl="6">
      <w:start w:val="0"/>
      <w:numFmt w:val="bullet"/>
      <w:lvlText w:val="•"/>
      <w:lvlJc w:val="left"/>
      <w:pPr>
        <w:ind w:left="3470" w:hanging="360"/>
      </w:pPr>
      <w:rPr>
        <w:rFonts w:hint="default"/>
        <w:lang w:val="es-ES" w:eastAsia="es-ES" w:bidi="es-ES"/>
      </w:rPr>
    </w:lvl>
    <w:lvl w:ilvl="7">
      <w:start w:val="0"/>
      <w:numFmt w:val="bullet"/>
      <w:lvlText w:val="•"/>
      <w:lvlJc w:val="left"/>
      <w:pPr>
        <w:ind w:left="3911" w:hanging="360"/>
      </w:pPr>
      <w:rPr>
        <w:rFonts w:hint="default"/>
        <w:lang w:val="es-ES" w:eastAsia="es-ES" w:bidi="es-ES"/>
      </w:rPr>
    </w:lvl>
    <w:lvl w:ilvl="8">
      <w:start w:val="0"/>
      <w:numFmt w:val="bullet"/>
      <w:lvlText w:val="•"/>
      <w:lvlJc w:val="left"/>
      <w:pPr>
        <w:ind w:left="4353" w:hanging="360"/>
      </w:pPr>
      <w:rPr>
        <w:rFonts w:hint="default"/>
        <w:lang w:val="es-ES" w:eastAsia="es-ES" w:bidi="es-ES"/>
      </w:rPr>
    </w:lvl>
  </w:abstractNum>
  <w:abstractNum w:abstractNumId="36">
    <w:multiLevelType w:val="hybridMultilevel"/>
    <w:lvl w:ilvl="0">
      <w:start w:val="1"/>
      <w:numFmt w:val="decimal"/>
      <w:lvlText w:val="%1."/>
      <w:lvlJc w:val="left"/>
      <w:pPr>
        <w:ind w:left="827"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204" w:hanging="360"/>
      </w:pPr>
      <w:rPr>
        <w:rFonts w:hint="default"/>
        <w:lang w:val="es-ES" w:eastAsia="es-ES" w:bidi="es-ES"/>
      </w:rPr>
    </w:lvl>
    <w:lvl w:ilvl="2">
      <w:start w:val="0"/>
      <w:numFmt w:val="bullet"/>
      <w:lvlText w:val="•"/>
      <w:lvlJc w:val="left"/>
      <w:pPr>
        <w:ind w:left="1588" w:hanging="360"/>
      </w:pPr>
      <w:rPr>
        <w:rFonts w:hint="default"/>
        <w:lang w:val="es-ES" w:eastAsia="es-ES" w:bidi="es-ES"/>
      </w:rPr>
    </w:lvl>
    <w:lvl w:ilvl="3">
      <w:start w:val="0"/>
      <w:numFmt w:val="bullet"/>
      <w:lvlText w:val="•"/>
      <w:lvlJc w:val="left"/>
      <w:pPr>
        <w:ind w:left="1972" w:hanging="360"/>
      </w:pPr>
      <w:rPr>
        <w:rFonts w:hint="default"/>
        <w:lang w:val="es-ES" w:eastAsia="es-ES" w:bidi="es-ES"/>
      </w:rPr>
    </w:lvl>
    <w:lvl w:ilvl="4">
      <w:start w:val="0"/>
      <w:numFmt w:val="bullet"/>
      <w:lvlText w:val="•"/>
      <w:lvlJc w:val="left"/>
      <w:pPr>
        <w:ind w:left="2357" w:hanging="360"/>
      </w:pPr>
      <w:rPr>
        <w:rFonts w:hint="default"/>
        <w:lang w:val="es-ES" w:eastAsia="es-ES" w:bidi="es-ES"/>
      </w:rPr>
    </w:lvl>
    <w:lvl w:ilvl="5">
      <w:start w:val="0"/>
      <w:numFmt w:val="bullet"/>
      <w:lvlText w:val="•"/>
      <w:lvlJc w:val="left"/>
      <w:pPr>
        <w:ind w:left="2741" w:hanging="360"/>
      </w:pPr>
      <w:rPr>
        <w:rFonts w:hint="default"/>
        <w:lang w:val="es-ES" w:eastAsia="es-ES" w:bidi="es-ES"/>
      </w:rPr>
    </w:lvl>
    <w:lvl w:ilvl="6">
      <w:start w:val="0"/>
      <w:numFmt w:val="bullet"/>
      <w:lvlText w:val="•"/>
      <w:lvlJc w:val="left"/>
      <w:pPr>
        <w:ind w:left="3125" w:hanging="360"/>
      </w:pPr>
      <w:rPr>
        <w:rFonts w:hint="default"/>
        <w:lang w:val="es-ES" w:eastAsia="es-ES" w:bidi="es-ES"/>
      </w:rPr>
    </w:lvl>
    <w:lvl w:ilvl="7">
      <w:start w:val="0"/>
      <w:numFmt w:val="bullet"/>
      <w:lvlText w:val="•"/>
      <w:lvlJc w:val="left"/>
      <w:pPr>
        <w:ind w:left="3510" w:hanging="360"/>
      </w:pPr>
      <w:rPr>
        <w:rFonts w:hint="default"/>
        <w:lang w:val="es-ES" w:eastAsia="es-ES" w:bidi="es-ES"/>
      </w:rPr>
    </w:lvl>
    <w:lvl w:ilvl="8">
      <w:start w:val="0"/>
      <w:numFmt w:val="bullet"/>
      <w:lvlText w:val="•"/>
      <w:lvlJc w:val="left"/>
      <w:pPr>
        <w:ind w:left="3894" w:hanging="360"/>
      </w:pPr>
      <w:rPr>
        <w:rFonts w:hint="default"/>
        <w:lang w:val="es-ES" w:eastAsia="es-ES" w:bidi="es-ES"/>
      </w:rPr>
    </w:lvl>
  </w:abstractNum>
  <w:abstractNum w:abstractNumId="35">
    <w:multiLevelType w:val="hybridMultilevel"/>
    <w:lvl w:ilvl="0">
      <w:start w:val="4"/>
      <w:numFmt w:val="decimal"/>
      <w:lvlText w:val="%1."/>
      <w:lvlJc w:val="left"/>
      <w:pPr>
        <w:ind w:left="468"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994" w:hanging="360"/>
      </w:pPr>
      <w:rPr>
        <w:rFonts w:hint="default"/>
        <w:lang w:val="es-ES" w:eastAsia="es-ES" w:bidi="es-ES"/>
      </w:rPr>
    </w:lvl>
    <w:lvl w:ilvl="2">
      <w:start w:val="0"/>
      <w:numFmt w:val="bullet"/>
      <w:lvlText w:val="•"/>
      <w:lvlJc w:val="left"/>
      <w:pPr>
        <w:ind w:left="1528" w:hanging="360"/>
      </w:pPr>
      <w:rPr>
        <w:rFonts w:hint="default"/>
        <w:lang w:val="es-ES" w:eastAsia="es-ES" w:bidi="es-ES"/>
      </w:rPr>
    </w:lvl>
    <w:lvl w:ilvl="3">
      <w:start w:val="0"/>
      <w:numFmt w:val="bullet"/>
      <w:lvlText w:val="•"/>
      <w:lvlJc w:val="left"/>
      <w:pPr>
        <w:ind w:left="2062" w:hanging="360"/>
      </w:pPr>
      <w:rPr>
        <w:rFonts w:hint="default"/>
        <w:lang w:val="es-ES" w:eastAsia="es-ES" w:bidi="es-ES"/>
      </w:rPr>
    </w:lvl>
    <w:lvl w:ilvl="4">
      <w:start w:val="0"/>
      <w:numFmt w:val="bullet"/>
      <w:lvlText w:val="•"/>
      <w:lvlJc w:val="left"/>
      <w:pPr>
        <w:ind w:left="2596" w:hanging="360"/>
      </w:pPr>
      <w:rPr>
        <w:rFonts w:hint="default"/>
        <w:lang w:val="es-ES" w:eastAsia="es-ES" w:bidi="es-ES"/>
      </w:rPr>
    </w:lvl>
    <w:lvl w:ilvl="5">
      <w:start w:val="0"/>
      <w:numFmt w:val="bullet"/>
      <w:lvlText w:val="•"/>
      <w:lvlJc w:val="left"/>
      <w:pPr>
        <w:ind w:left="3130" w:hanging="360"/>
      </w:pPr>
      <w:rPr>
        <w:rFonts w:hint="default"/>
        <w:lang w:val="es-ES" w:eastAsia="es-ES" w:bidi="es-ES"/>
      </w:rPr>
    </w:lvl>
    <w:lvl w:ilvl="6">
      <w:start w:val="0"/>
      <w:numFmt w:val="bullet"/>
      <w:lvlText w:val="•"/>
      <w:lvlJc w:val="left"/>
      <w:pPr>
        <w:ind w:left="3664" w:hanging="360"/>
      </w:pPr>
      <w:rPr>
        <w:rFonts w:hint="default"/>
        <w:lang w:val="es-ES" w:eastAsia="es-ES" w:bidi="es-ES"/>
      </w:rPr>
    </w:lvl>
    <w:lvl w:ilvl="7">
      <w:start w:val="0"/>
      <w:numFmt w:val="bullet"/>
      <w:lvlText w:val="•"/>
      <w:lvlJc w:val="left"/>
      <w:pPr>
        <w:ind w:left="4198" w:hanging="360"/>
      </w:pPr>
      <w:rPr>
        <w:rFonts w:hint="default"/>
        <w:lang w:val="es-ES" w:eastAsia="es-ES" w:bidi="es-ES"/>
      </w:rPr>
    </w:lvl>
    <w:lvl w:ilvl="8">
      <w:start w:val="0"/>
      <w:numFmt w:val="bullet"/>
      <w:lvlText w:val="•"/>
      <w:lvlJc w:val="left"/>
      <w:pPr>
        <w:ind w:left="4732" w:hanging="360"/>
      </w:pPr>
      <w:rPr>
        <w:rFonts w:hint="default"/>
        <w:lang w:val="es-ES" w:eastAsia="es-ES" w:bidi="es-ES"/>
      </w:rPr>
    </w:lvl>
  </w:abstractNum>
  <w:abstractNum w:abstractNumId="34">
    <w:multiLevelType w:val="hybridMultilevel"/>
    <w:lvl w:ilvl="0">
      <w:start w:val="1"/>
      <w:numFmt w:val="decimal"/>
      <w:lvlText w:val="%1."/>
      <w:lvlJc w:val="left"/>
      <w:pPr>
        <w:ind w:left="825" w:hanging="361"/>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176" w:hanging="361"/>
      </w:pPr>
      <w:rPr>
        <w:rFonts w:hint="default"/>
        <w:lang w:val="es-ES" w:eastAsia="es-ES" w:bidi="es-ES"/>
      </w:rPr>
    </w:lvl>
    <w:lvl w:ilvl="2">
      <w:start w:val="0"/>
      <w:numFmt w:val="bullet"/>
      <w:lvlText w:val="•"/>
      <w:lvlJc w:val="left"/>
      <w:pPr>
        <w:ind w:left="1532" w:hanging="361"/>
      </w:pPr>
      <w:rPr>
        <w:rFonts w:hint="default"/>
        <w:lang w:val="es-ES" w:eastAsia="es-ES" w:bidi="es-ES"/>
      </w:rPr>
    </w:lvl>
    <w:lvl w:ilvl="3">
      <w:start w:val="0"/>
      <w:numFmt w:val="bullet"/>
      <w:lvlText w:val="•"/>
      <w:lvlJc w:val="left"/>
      <w:pPr>
        <w:ind w:left="1888" w:hanging="361"/>
      </w:pPr>
      <w:rPr>
        <w:rFonts w:hint="default"/>
        <w:lang w:val="es-ES" w:eastAsia="es-ES" w:bidi="es-ES"/>
      </w:rPr>
    </w:lvl>
    <w:lvl w:ilvl="4">
      <w:start w:val="0"/>
      <w:numFmt w:val="bullet"/>
      <w:lvlText w:val="•"/>
      <w:lvlJc w:val="left"/>
      <w:pPr>
        <w:ind w:left="2244" w:hanging="361"/>
      </w:pPr>
      <w:rPr>
        <w:rFonts w:hint="default"/>
        <w:lang w:val="es-ES" w:eastAsia="es-ES" w:bidi="es-ES"/>
      </w:rPr>
    </w:lvl>
    <w:lvl w:ilvl="5">
      <w:start w:val="0"/>
      <w:numFmt w:val="bullet"/>
      <w:lvlText w:val="•"/>
      <w:lvlJc w:val="left"/>
      <w:pPr>
        <w:ind w:left="2600" w:hanging="361"/>
      </w:pPr>
      <w:rPr>
        <w:rFonts w:hint="default"/>
        <w:lang w:val="es-ES" w:eastAsia="es-ES" w:bidi="es-ES"/>
      </w:rPr>
    </w:lvl>
    <w:lvl w:ilvl="6">
      <w:start w:val="0"/>
      <w:numFmt w:val="bullet"/>
      <w:lvlText w:val="•"/>
      <w:lvlJc w:val="left"/>
      <w:pPr>
        <w:ind w:left="2956" w:hanging="361"/>
      </w:pPr>
      <w:rPr>
        <w:rFonts w:hint="default"/>
        <w:lang w:val="es-ES" w:eastAsia="es-ES" w:bidi="es-ES"/>
      </w:rPr>
    </w:lvl>
    <w:lvl w:ilvl="7">
      <w:start w:val="0"/>
      <w:numFmt w:val="bullet"/>
      <w:lvlText w:val="•"/>
      <w:lvlJc w:val="left"/>
      <w:pPr>
        <w:ind w:left="3312" w:hanging="361"/>
      </w:pPr>
      <w:rPr>
        <w:rFonts w:hint="default"/>
        <w:lang w:val="es-ES" w:eastAsia="es-ES" w:bidi="es-ES"/>
      </w:rPr>
    </w:lvl>
    <w:lvl w:ilvl="8">
      <w:start w:val="0"/>
      <w:numFmt w:val="bullet"/>
      <w:lvlText w:val="•"/>
      <w:lvlJc w:val="left"/>
      <w:pPr>
        <w:ind w:left="3668" w:hanging="361"/>
      </w:pPr>
      <w:rPr>
        <w:rFonts w:hint="default"/>
        <w:lang w:val="es-ES" w:eastAsia="es-ES" w:bidi="es-ES"/>
      </w:rPr>
    </w:lvl>
  </w:abstractNum>
  <w:abstractNum w:abstractNumId="33">
    <w:multiLevelType w:val="hybridMultilevel"/>
    <w:lvl w:ilvl="0">
      <w:start w:val="9"/>
      <w:numFmt w:val="decimal"/>
      <w:lvlText w:val="%1."/>
      <w:lvlJc w:val="left"/>
      <w:pPr>
        <w:ind w:left="465" w:hanging="358"/>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50" w:hanging="358"/>
      </w:pPr>
      <w:rPr>
        <w:rFonts w:hint="default"/>
        <w:lang w:val="es-ES" w:eastAsia="es-ES" w:bidi="es-ES"/>
      </w:rPr>
    </w:lvl>
    <w:lvl w:ilvl="2">
      <w:start w:val="0"/>
      <w:numFmt w:val="bullet"/>
      <w:lvlText w:val="•"/>
      <w:lvlJc w:val="left"/>
      <w:pPr>
        <w:ind w:left="1641" w:hanging="358"/>
      </w:pPr>
      <w:rPr>
        <w:rFonts w:hint="default"/>
        <w:lang w:val="es-ES" w:eastAsia="es-ES" w:bidi="es-ES"/>
      </w:rPr>
    </w:lvl>
    <w:lvl w:ilvl="3">
      <w:start w:val="0"/>
      <w:numFmt w:val="bullet"/>
      <w:lvlText w:val="•"/>
      <w:lvlJc w:val="left"/>
      <w:pPr>
        <w:ind w:left="2231" w:hanging="358"/>
      </w:pPr>
      <w:rPr>
        <w:rFonts w:hint="default"/>
        <w:lang w:val="es-ES" w:eastAsia="es-ES" w:bidi="es-ES"/>
      </w:rPr>
    </w:lvl>
    <w:lvl w:ilvl="4">
      <w:start w:val="0"/>
      <w:numFmt w:val="bullet"/>
      <w:lvlText w:val="•"/>
      <w:lvlJc w:val="left"/>
      <w:pPr>
        <w:ind w:left="2822" w:hanging="358"/>
      </w:pPr>
      <w:rPr>
        <w:rFonts w:hint="default"/>
        <w:lang w:val="es-ES" w:eastAsia="es-ES" w:bidi="es-ES"/>
      </w:rPr>
    </w:lvl>
    <w:lvl w:ilvl="5">
      <w:start w:val="0"/>
      <w:numFmt w:val="bullet"/>
      <w:lvlText w:val="•"/>
      <w:lvlJc w:val="left"/>
      <w:pPr>
        <w:ind w:left="3413" w:hanging="358"/>
      </w:pPr>
      <w:rPr>
        <w:rFonts w:hint="default"/>
        <w:lang w:val="es-ES" w:eastAsia="es-ES" w:bidi="es-ES"/>
      </w:rPr>
    </w:lvl>
    <w:lvl w:ilvl="6">
      <w:start w:val="0"/>
      <w:numFmt w:val="bullet"/>
      <w:lvlText w:val="•"/>
      <w:lvlJc w:val="left"/>
      <w:pPr>
        <w:ind w:left="4003" w:hanging="358"/>
      </w:pPr>
      <w:rPr>
        <w:rFonts w:hint="default"/>
        <w:lang w:val="es-ES" w:eastAsia="es-ES" w:bidi="es-ES"/>
      </w:rPr>
    </w:lvl>
    <w:lvl w:ilvl="7">
      <w:start w:val="0"/>
      <w:numFmt w:val="bullet"/>
      <w:lvlText w:val="•"/>
      <w:lvlJc w:val="left"/>
      <w:pPr>
        <w:ind w:left="4594" w:hanging="358"/>
      </w:pPr>
      <w:rPr>
        <w:rFonts w:hint="default"/>
        <w:lang w:val="es-ES" w:eastAsia="es-ES" w:bidi="es-ES"/>
      </w:rPr>
    </w:lvl>
    <w:lvl w:ilvl="8">
      <w:start w:val="0"/>
      <w:numFmt w:val="bullet"/>
      <w:lvlText w:val="•"/>
      <w:lvlJc w:val="left"/>
      <w:pPr>
        <w:ind w:left="5184" w:hanging="358"/>
      </w:pPr>
      <w:rPr>
        <w:rFonts w:hint="default"/>
        <w:lang w:val="es-ES" w:eastAsia="es-ES" w:bidi="es-ES"/>
      </w:rPr>
    </w:lvl>
  </w:abstractNum>
  <w:abstractNum w:abstractNumId="32">
    <w:multiLevelType w:val="hybridMultilevel"/>
    <w:lvl w:ilvl="0">
      <w:start w:val="1"/>
      <w:numFmt w:val="decimal"/>
      <w:lvlText w:val="%1."/>
      <w:lvlJc w:val="left"/>
      <w:pPr>
        <w:ind w:left="465" w:hanging="358"/>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50" w:hanging="358"/>
      </w:pPr>
      <w:rPr>
        <w:rFonts w:hint="default"/>
        <w:lang w:val="es-ES" w:eastAsia="es-ES" w:bidi="es-ES"/>
      </w:rPr>
    </w:lvl>
    <w:lvl w:ilvl="2">
      <w:start w:val="0"/>
      <w:numFmt w:val="bullet"/>
      <w:lvlText w:val="•"/>
      <w:lvlJc w:val="left"/>
      <w:pPr>
        <w:ind w:left="1641" w:hanging="358"/>
      </w:pPr>
      <w:rPr>
        <w:rFonts w:hint="default"/>
        <w:lang w:val="es-ES" w:eastAsia="es-ES" w:bidi="es-ES"/>
      </w:rPr>
    </w:lvl>
    <w:lvl w:ilvl="3">
      <w:start w:val="0"/>
      <w:numFmt w:val="bullet"/>
      <w:lvlText w:val="•"/>
      <w:lvlJc w:val="left"/>
      <w:pPr>
        <w:ind w:left="2231" w:hanging="358"/>
      </w:pPr>
      <w:rPr>
        <w:rFonts w:hint="default"/>
        <w:lang w:val="es-ES" w:eastAsia="es-ES" w:bidi="es-ES"/>
      </w:rPr>
    </w:lvl>
    <w:lvl w:ilvl="4">
      <w:start w:val="0"/>
      <w:numFmt w:val="bullet"/>
      <w:lvlText w:val="•"/>
      <w:lvlJc w:val="left"/>
      <w:pPr>
        <w:ind w:left="2822" w:hanging="358"/>
      </w:pPr>
      <w:rPr>
        <w:rFonts w:hint="default"/>
        <w:lang w:val="es-ES" w:eastAsia="es-ES" w:bidi="es-ES"/>
      </w:rPr>
    </w:lvl>
    <w:lvl w:ilvl="5">
      <w:start w:val="0"/>
      <w:numFmt w:val="bullet"/>
      <w:lvlText w:val="•"/>
      <w:lvlJc w:val="left"/>
      <w:pPr>
        <w:ind w:left="3413" w:hanging="358"/>
      </w:pPr>
      <w:rPr>
        <w:rFonts w:hint="default"/>
        <w:lang w:val="es-ES" w:eastAsia="es-ES" w:bidi="es-ES"/>
      </w:rPr>
    </w:lvl>
    <w:lvl w:ilvl="6">
      <w:start w:val="0"/>
      <w:numFmt w:val="bullet"/>
      <w:lvlText w:val="•"/>
      <w:lvlJc w:val="left"/>
      <w:pPr>
        <w:ind w:left="4003" w:hanging="358"/>
      </w:pPr>
      <w:rPr>
        <w:rFonts w:hint="default"/>
        <w:lang w:val="es-ES" w:eastAsia="es-ES" w:bidi="es-ES"/>
      </w:rPr>
    </w:lvl>
    <w:lvl w:ilvl="7">
      <w:start w:val="0"/>
      <w:numFmt w:val="bullet"/>
      <w:lvlText w:val="•"/>
      <w:lvlJc w:val="left"/>
      <w:pPr>
        <w:ind w:left="4594" w:hanging="358"/>
      </w:pPr>
      <w:rPr>
        <w:rFonts w:hint="default"/>
        <w:lang w:val="es-ES" w:eastAsia="es-ES" w:bidi="es-ES"/>
      </w:rPr>
    </w:lvl>
    <w:lvl w:ilvl="8">
      <w:start w:val="0"/>
      <w:numFmt w:val="bullet"/>
      <w:lvlText w:val="•"/>
      <w:lvlJc w:val="left"/>
      <w:pPr>
        <w:ind w:left="5184" w:hanging="358"/>
      </w:pPr>
      <w:rPr>
        <w:rFonts w:hint="default"/>
        <w:lang w:val="es-ES" w:eastAsia="es-ES" w:bidi="es-ES"/>
      </w:rPr>
    </w:lvl>
  </w:abstractNum>
  <w:abstractNum w:abstractNumId="31">
    <w:multiLevelType w:val="hybridMultilevel"/>
    <w:lvl w:ilvl="0">
      <w:start w:val="1"/>
      <w:numFmt w:val="decimal"/>
      <w:lvlText w:val="%1."/>
      <w:lvlJc w:val="left"/>
      <w:pPr>
        <w:ind w:left="467" w:hanging="360"/>
        <w:jc w:val="left"/>
      </w:pPr>
      <w:rPr>
        <w:rFonts w:hint="default" w:ascii="Calibri" w:hAnsi="Calibri" w:eastAsia="Calibri" w:cs="Calibri"/>
        <w:w w:val="100"/>
        <w:sz w:val="22"/>
        <w:szCs w:val="22"/>
        <w:lang w:val="es-ES" w:eastAsia="es-ES" w:bidi="es-ES"/>
      </w:rPr>
    </w:lvl>
    <w:lvl w:ilvl="1">
      <w:start w:val="0"/>
      <w:numFmt w:val="bullet"/>
      <w:lvlText w:val="•"/>
      <w:lvlJc w:val="left"/>
      <w:pPr>
        <w:ind w:left="738" w:hanging="360"/>
      </w:pPr>
      <w:rPr>
        <w:rFonts w:hint="default"/>
        <w:lang w:val="es-ES" w:eastAsia="es-ES" w:bidi="es-ES"/>
      </w:rPr>
    </w:lvl>
    <w:lvl w:ilvl="2">
      <w:start w:val="0"/>
      <w:numFmt w:val="bullet"/>
      <w:lvlText w:val="•"/>
      <w:lvlJc w:val="left"/>
      <w:pPr>
        <w:ind w:left="1017" w:hanging="360"/>
      </w:pPr>
      <w:rPr>
        <w:rFonts w:hint="default"/>
        <w:lang w:val="es-ES" w:eastAsia="es-ES" w:bidi="es-ES"/>
      </w:rPr>
    </w:lvl>
    <w:lvl w:ilvl="3">
      <w:start w:val="0"/>
      <w:numFmt w:val="bullet"/>
      <w:lvlText w:val="•"/>
      <w:lvlJc w:val="left"/>
      <w:pPr>
        <w:ind w:left="1295" w:hanging="360"/>
      </w:pPr>
      <w:rPr>
        <w:rFonts w:hint="default"/>
        <w:lang w:val="es-ES" w:eastAsia="es-ES" w:bidi="es-ES"/>
      </w:rPr>
    </w:lvl>
    <w:lvl w:ilvl="4">
      <w:start w:val="0"/>
      <w:numFmt w:val="bullet"/>
      <w:lvlText w:val="•"/>
      <w:lvlJc w:val="left"/>
      <w:pPr>
        <w:ind w:left="1574" w:hanging="360"/>
      </w:pPr>
      <w:rPr>
        <w:rFonts w:hint="default"/>
        <w:lang w:val="es-ES" w:eastAsia="es-ES" w:bidi="es-ES"/>
      </w:rPr>
    </w:lvl>
    <w:lvl w:ilvl="5">
      <w:start w:val="0"/>
      <w:numFmt w:val="bullet"/>
      <w:lvlText w:val="•"/>
      <w:lvlJc w:val="left"/>
      <w:pPr>
        <w:ind w:left="1852" w:hanging="360"/>
      </w:pPr>
      <w:rPr>
        <w:rFonts w:hint="default"/>
        <w:lang w:val="es-ES" w:eastAsia="es-ES" w:bidi="es-ES"/>
      </w:rPr>
    </w:lvl>
    <w:lvl w:ilvl="6">
      <w:start w:val="0"/>
      <w:numFmt w:val="bullet"/>
      <w:lvlText w:val="•"/>
      <w:lvlJc w:val="left"/>
      <w:pPr>
        <w:ind w:left="2131" w:hanging="360"/>
      </w:pPr>
      <w:rPr>
        <w:rFonts w:hint="default"/>
        <w:lang w:val="es-ES" w:eastAsia="es-ES" w:bidi="es-ES"/>
      </w:rPr>
    </w:lvl>
    <w:lvl w:ilvl="7">
      <w:start w:val="0"/>
      <w:numFmt w:val="bullet"/>
      <w:lvlText w:val="•"/>
      <w:lvlJc w:val="left"/>
      <w:pPr>
        <w:ind w:left="2409" w:hanging="360"/>
      </w:pPr>
      <w:rPr>
        <w:rFonts w:hint="default"/>
        <w:lang w:val="es-ES" w:eastAsia="es-ES" w:bidi="es-ES"/>
      </w:rPr>
    </w:lvl>
    <w:lvl w:ilvl="8">
      <w:start w:val="0"/>
      <w:numFmt w:val="bullet"/>
      <w:lvlText w:val="•"/>
      <w:lvlJc w:val="left"/>
      <w:pPr>
        <w:ind w:left="2688" w:hanging="360"/>
      </w:pPr>
      <w:rPr>
        <w:rFonts w:hint="default"/>
        <w:lang w:val="es-ES" w:eastAsia="es-ES" w:bidi="es-ES"/>
      </w:rPr>
    </w:lvl>
  </w:abstractNum>
  <w:abstractNum w:abstractNumId="30">
    <w:multiLevelType w:val="hybridMultilevel"/>
    <w:lvl w:ilvl="0">
      <w:start w:val="1"/>
      <w:numFmt w:val="decimal"/>
      <w:lvlText w:val="%1."/>
      <w:lvlJc w:val="left"/>
      <w:pPr>
        <w:ind w:left="467" w:hanging="360"/>
        <w:jc w:val="left"/>
      </w:pPr>
      <w:rPr>
        <w:rFonts w:hint="default"/>
        <w:spacing w:val="-1"/>
        <w:w w:val="99"/>
        <w:lang w:val="es-ES" w:eastAsia="es-ES" w:bidi="es-ES"/>
      </w:rPr>
    </w:lvl>
    <w:lvl w:ilvl="1">
      <w:start w:val="0"/>
      <w:numFmt w:val="bullet"/>
      <w:lvlText w:val="•"/>
      <w:lvlJc w:val="left"/>
      <w:pPr>
        <w:ind w:left="1107" w:hanging="360"/>
      </w:pPr>
      <w:rPr>
        <w:rFonts w:hint="default"/>
        <w:lang w:val="es-ES" w:eastAsia="es-ES" w:bidi="es-ES"/>
      </w:rPr>
    </w:lvl>
    <w:lvl w:ilvl="2">
      <w:start w:val="0"/>
      <w:numFmt w:val="bullet"/>
      <w:lvlText w:val="•"/>
      <w:lvlJc w:val="left"/>
      <w:pPr>
        <w:ind w:left="1755" w:hanging="360"/>
      </w:pPr>
      <w:rPr>
        <w:rFonts w:hint="default"/>
        <w:lang w:val="es-ES" w:eastAsia="es-ES" w:bidi="es-ES"/>
      </w:rPr>
    </w:lvl>
    <w:lvl w:ilvl="3">
      <w:start w:val="0"/>
      <w:numFmt w:val="bullet"/>
      <w:lvlText w:val="•"/>
      <w:lvlJc w:val="left"/>
      <w:pPr>
        <w:ind w:left="2403" w:hanging="360"/>
      </w:pPr>
      <w:rPr>
        <w:rFonts w:hint="default"/>
        <w:lang w:val="es-ES" w:eastAsia="es-ES" w:bidi="es-ES"/>
      </w:rPr>
    </w:lvl>
    <w:lvl w:ilvl="4">
      <w:start w:val="0"/>
      <w:numFmt w:val="bullet"/>
      <w:lvlText w:val="•"/>
      <w:lvlJc w:val="left"/>
      <w:pPr>
        <w:ind w:left="3050" w:hanging="360"/>
      </w:pPr>
      <w:rPr>
        <w:rFonts w:hint="default"/>
        <w:lang w:val="es-ES" w:eastAsia="es-ES" w:bidi="es-ES"/>
      </w:rPr>
    </w:lvl>
    <w:lvl w:ilvl="5">
      <w:start w:val="0"/>
      <w:numFmt w:val="bullet"/>
      <w:lvlText w:val="•"/>
      <w:lvlJc w:val="left"/>
      <w:pPr>
        <w:ind w:left="3698" w:hanging="360"/>
      </w:pPr>
      <w:rPr>
        <w:rFonts w:hint="default"/>
        <w:lang w:val="es-ES" w:eastAsia="es-ES" w:bidi="es-ES"/>
      </w:rPr>
    </w:lvl>
    <w:lvl w:ilvl="6">
      <w:start w:val="0"/>
      <w:numFmt w:val="bullet"/>
      <w:lvlText w:val="•"/>
      <w:lvlJc w:val="left"/>
      <w:pPr>
        <w:ind w:left="4346" w:hanging="360"/>
      </w:pPr>
      <w:rPr>
        <w:rFonts w:hint="default"/>
        <w:lang w:val="es-ES" w:eastAsia="es-ES" w:bidi="es-ES"/>
      </w:rPr>
    </w:lvl>
    <w:lvl w:ilvl="7">
      <w:start w:val="0"/>
      <w:numFmt w:val="bullet"/>
      <w:lvlText w:val="•"/>
      <w:lvlJc w:val="left"/>
      <w:pPr>
        <w:ind w:left="4993" w:hanging="360"/>
      </w:pPr>
      <w:rPr>
        <w:rFonts w:hint="default"/>
        <w:lang w:val="es-ES" w:eastAsia="es-ES" w:bidi="es-ES"/>
      </w:rPr>
    </w:lvl>
    <w:lvl w:ilvl="8">
      <w:start w:val="0"/>
      <w:numFmt w:val="bullet"/>
      <w:lvlText w:val="•"/>
      <w:lvlJc w:val="left"/>
      <w:pPr>
        <w:ind w:left="5641" w:hanging="360"/>
      </w:pPr>
      <w:rPr>
        <w:rFonts w:hint="default"/>
        <w:lang w:val="es-ES" w:eastAsia="es-ES" w:bidi="es-ES"/>
      </w:rPr>
    </w:lvl>
  </w:abstractNum>
  <w:abstractNum w:abstractNumId="29">
    <w:multiLevelType w:val="hybridMultilevel"/>
    <w:lvl w:ilvl="0">
      <w:start w:val="1"/>
      <w:numFmt w:val="decimal"/>
      <w:lvlText w:val="%1."/>
      <w:lvlJc w:val="left"/>
      <w:pPr>
        <w:ind w:left="468"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866" w:hanging="360"/>
      </w:pPr>
      <w:rPr>
        <w:rFonts w:hint="default"/>
        <w:lang w:val="es-ES" w:eastAsia="es-ES" w:bidi="es-ES"/>
      </w:rPr>
    </w:lvl>
    <w:lvl w:ilvl="2">
      <w:start w:val="0"/>
      <w:numFmt w:val="bullet"/>
      <w:lvlText w:val="•"/>
      <w:lvlJc w:val="left"/>
      <w:pPr>
        <w:ind w:left="1273" w:hanging="360"/>
      </w:pPr>
      <w:rPr>
        <w:rFonts w:hint="default"/>
        <w:lang w:val="es-ES" w:eastAsia="es-ES" w:bidi="es-ES"/>
      </w:rPr>
    </w:lvl>
    <w:lvl w:ilvl="3">
      <w:start w:val="0"/>
      <w:numFmt w:val="bullet"/>
      <w:lvlText w:val="•"/>
      <w:lvlJc w:val="left"/>
      <w:pPr>
        <w:ind w:left="1679" w:hanging="360"/>
      </w:pPr>
      <w:rPr>
        <w:rFonts w:hint="default"/>
        <w:lang w:val="es-ES" w:eastAsia="es-ES" w:bidi="es-ES"/>
      </w:rPr>
    </w:lvl>
    <w:lvl w:ilvl="4">
      <w:start w:val="0"/>
      <w:numFmt w:val="bullet"/>
      <w:lvlText w:val="•"/>
      <w:lvlJc w:val="left"/>
      <w:pPr>
        <w:ind w:left="2086" w:hanging="360"/>
      </w:pPr>
      <w:rPr>
        <w:rFonts w:hint="default"/>
        <w:lang w:val="es-ES" w:eastAsia="es-ES" w:bidi="es-ES"/>
      </w:rPr>
    </w:lvl>
    <w:lvl w:ilvl="5">
      <w:start w:val="0"/>
      <w:numFmt w:val="bullet"/>
      <w:lvlText w:val="•"/>
      <w:lvlJc w:val="left"/>
      <w:pPr>
        <w:ind w:left="2493" w:hanging="360"/>
      </w:pPr>
      <w:rPr>
        <w:rFonts w:hint="default"/>
        <w:lang w:val="es-ES" w:eastAsia="es-ES" w:bidi="es-ES"/>
      </w:rPr>
    </w:lvl>
    <w:lvl w:ilvl="6">
      <w:start w:val="0"/>
      <w:numFmt w:val="bullet"/>
      <w:lvlText w:val="•"/>
      <w:lvlJc w:val="left"/>
      <w:pPr>
        <w:ind w:left="2899" w:hanging="360"/>
      </w:pPr>
      <w:rPr>
        <w:rFonts w:hint="default"/>
        <w:lang w:val="es-ES" w:eastAsia="es-ES" w:bidi="es-ES"/>
      </w:rPr>
    </w:lvl>
    <w:lvl w:ilvl="7">
      <w:start w:val="0"/>
      <w:numFmt w:val="bullet"/>
      <w:lvlText w:val="•"/>
      <w:lvlJc w:val="left"/>
      <w:pPr>
        <w:ind w:left="3306" w:hanging="360"/>
      </w:pPr>
      <w:rPr>
        <w:rFonts w:hint="default"/>
        <w:lang w:val="es-ES" w:eastAsia="es-ES" w:bidi="es-ES"/>
      </w:rPr>
    </w:lvl>
    <w:lvl w:ilvl="8">
      <w:start w:val="0"/>
      <w:numFmt w:val="bullet"/>
      <w:lvlText w:val="•"/>
      <w:lvlJc w:val="left"/>
      <w:pPr>
        <w:ind w:left="3712" w:hanging="360"/>
      </w:pPr>
      <w:rPr>
        <w:rFonts w:hint="default"/>
        <w:lang w:val="es-ES" w:eastAsia="es-ES" w:bidi="es-ES"/>
      </w:rPr>
    </w:lvl>
  </w:abstractNum>
  <w:abstractNum w:abstractNumId="28">
    <w:multiLevelType w:val="hybridMultilevel"/>
    <w:lvl w:ilvl="0">
      <w:start w:val="1"/>
      <w:numFmt w:val="decimal"/>
      <w:lvlText w:val="%1."/>
      <w:lvlJc w:val="left"/>
      <w:pPr>
        <w:ind w:left="465"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979" w:hanging="360"/>
      </w:pPr>
      <w:rPr>
        <w:rFonts w:hint="default"/>
        <w:lang w:val="es-ES" w:eastAsia="es-ES" w:bidi="es-ES"/>
      </w:rPr>
    </w:lvl>
    <w:lvl w:ilvl="2">
      <w:start w:val="0"/>
      <w:numFmt w:val="bullet"/>
      <w:lvlText w:val="•"/>
      <w:lvlJc w:val="left"/>
      <w:pPr>
        <w:ind w:left="1499" w:hanging="360"/>
      </w:pPr>
      <w:rPr>
        <w:rFonts w:hint="default"/>
        <w:lang w:val="es-ES" w:eastAsia="es-ES" w:bidi="es-ES"/>
      </w:rPr>
    </w:lvl>
    <w:lvl w:ilvl="3">
      <w:start w:val="0"/>
      <w:numFmt w:val="bullet"/>
      <w:lvlText w:val="•"/>
      <w:lvlJc w:val="left"/>
      <w:pPr>
        <w:ind w:left="2018" w:hanging="360"/>
      </w:pPr>
      <w:rPr>
        <w:rFonts w:hint="default"/>
        <w:lang w:val="es-ES" w:eastAsia="es-ES" w:bidi="es-ES"/>
      </w:rPr>
    </w:lvl>
    <w:lvl w:ilvl="4">
      <w:start w:val="0"/>
      <w:numFmt w:val="bullet"/>
      <w:lvlText w:val="•"/>
      <w:lvlJc w:val="left"/>
      <w:pPr>
        <w:ind w:left="2538" w:hanging="360"/>
      </w:pPr>
      <w:rPr>
        <w:rFonts w:hint="default"/>
        <w:lang w:val="es-ES" w:eastAsia="es-ES" w:bidi="es-ES"/>
      </w:rPr>
    </w:lvl>
    <w:lvl w:ilvl="5">
      <w:start w:val="0"/>
      <w:numFmt w:val="bullet"/>
      <w:lvlText w:val="•"/>
      <w:lvlJc w:val="left"/>
      <w:pPr>
        <w:ind w:left="3057" w:hanging="360"/>
      </w:pPr>
      <w:rPr>
        <w:rFonts w:hint="default"/>
        <w:lang w:val="es-ES" w:eastAsia="es-ES" w:bidi="es-ES"/>
      </w:rPr>
    </w:lvl>
    <w:lvl w:ilvl="6">
      <w:start w:val="0"/>
      <w:numFmt w:val="bullet"/>
      <w:lvlText w:val="•"/>
      <w:lvlJc w:val="left"/>
      <w:pPr>
        <w:ind w:left="3577" w:hanging="360"/>
      </w:pPr>
      <w:rPr>
        <w:rFonts w:hint="default"/>
        <w:lang w:val="es-ES" w:eastAsia="es-ES" w:bidi="es-ES"/>
      </w:rPr>
    </w:lvl>
    <w:lvl w:ilvl="7">
      <w:start w:val="0"/>
      <w:numFmt w:val="bullet"/>
      <w:lvlText w:val="•"/>
      <w:lvlJc w:val="left"/>
      <w:pPr>
        <w:ind w:left="4096" w:hanging="360"/>
      </w:pPr>
      <w:rPr>
        <w:rFonts w:hint="default"/>
        <w:lang w:val="es-ES" w:eastAsia="es-ES" w:bidi="es-ES"/>
      </w:rPr>
    </w:lvl>
    <w:lvl w:ilvl="8">
      <w:start w:val="0"/>
      <w:numFmt w:val="bullet"/>
      <w:lvlText w:val="•"/>
      <w:lvlJc w:val="left"/>
      <w:pPr>
        <w:ind w:left="4616" w:hanging="360"/>
      </w:pPr>
      <w:rPr>
        <w:rFonts w:hint="default"/>
        <w:lang w:val="es-ES" w:eastAsia="es-ES" w:bidi="es-ES"/>
      </w:rPr>
    </w:lvl>
  </w:abstractNum>
  <w:abstractNum w:abstractNumId="27">
    <w:multiLevelType w:val="hybridMultilevel"/>
    <w:lvl w:ilvl="0">
      <w:start w:val="1"/>
      <w:numFmt w:val="decimal"/>
      <w:lvlText w:val="%1."/>
      <w:lvlJc w:val="left"/>
      <w:pPr>
        <w:ind w:left="104" w:hanging="708"/>
        <w:jc w:val="left"/>
      </w:pPr>
      <w:rPr>
        <w:rFonts w:hint="default" w:ascii="Calibri" w:hAnsi="Calibri" w:eastAsia="Calibri" w:cs="Calibri"/>
        <w:w w:val="100"/>
        <w:sz w:val="22"/>
        <w:szCs w:val="22"/>
        <w:lang w:val="es-ES" w:eastAsia="es-ES" w:bidi="es-ES"/>
      </w:rPr>
    </w:lvl>
    <w:lvl w:ilvl="1">
      <w:start w:val="0"/>
      <w:numFmt w:val="bullet"/>
      <w:lvlText w:val="•"/>
      <w:lvlJc w:val="left"/>
      <w:pPr>
        <w:ind w:left="428" w:hanging="708"/>
      </w:pPr>
      <w:rPr>
        <w:rFonts w:hint="default"/>
        <w:lang w:val="es-ES" w:eastAsia="es-ES" w:bidi="es-ES"/>
      </w:rPr>
    </w:lvl>
    <w:lvl w:ilvl="2">
      <w:start w:val="0"/>
      <w:numFmt w:val="bullet"/>
      <w:lvlText w:val="•"/>
      <w:lvlJc w:val="left"/>
      <w:pPr>
        <w:ind w:left="757" w:hanging="708"/>
      </w:pPr>
      <w:rPr>
        <w:rFonts w:hint="default"/>
        <w:lang w:val="es-ES" w:eastAsia="es-ES" w:bidi="es-ES"/>
      </w:rPr>
    </w:lvl>
    <w:lvl w:ilvl="3">
      <w:start w:val="0"/>
      <w:numFmt w:val="bullet"/>
      <w:lvlText w:val="•"/>
      <w:lvlJc w:val="left"/>
      <w:pPr>
        <w:ind w:left="1086" w:hanging="708"/>
      </w:pPr>
      <w:rPr>
        <w:rFonts w:hint="default"/>
        <w:lang w:val="es-ES" w:eastAsia="es-ES" w:bidi="es-ES"/>
      </w:rPr>
    </w:lvl>
    <w:lvl w:ilvl="4">
      <w:start w:val="0"/>
      <w:numFmt w:val="bullet"/>
      <w:lvlText w:val="•"/>
      <w:lvlJc w:val="left"/>
      <w:pPr>
        <w:ind w:left="1414" w:hanging="708"/>
      </w:pPr>
      <w:rPr>
        <w:rFonts w:hint="default"/>
        <w:lang w:val="es-ES" w:eastAsia="es-ES" w:bidi="es-ES"/>
      </w:rPr>
    </w:lvl>
    <w:lvl w:ilvl="5">
      <w:start w:val="0"/>
      <w:numFmt w:val="bullet"/>
      <w:lvlText w:val="•"/>
      <w:lvlJc w:val="left"/>
      <w:pPr>
        <w:ind w:left="1743" w:hanging="708"/>
      </w:pPr>
      <w:rPr>
        <w:rFonts w:hint="default"/>
        <w:lang w:val="es-ES" w:eastAsia="es-ES" w:bidi="es-ES"/>
      </w:rPr>
    </w:lvl>
    <w:lvl w:ilvl="6">
      <w:start w:val="0"/>
      <w:numFmt w:val="bullet"/>
      <w:lvlText w:val="•"/>
      <w:lvlJc w:val="left"/>
      <w:pPr>
        <w:ind w:left="2072" w:hanging="708"/>
      </w:pPr>
      <w:rPr>
        <w:rFonts w:hint="default"/>
        <w:lang w:val="es-ES" w:eastAsia="es-ES" w:bidi="es-ES"/>
      </w:rPr>
    </w:lvl>
    <w:lvl w:ilvl="7">
      <w:start w:val="0"/>
      <w:numFmt w:val="bullet"/>
      <w:lvlText w:val="•"/>
      <w:lvlJc w:val="left"/>
      <w:pPr>
        <w:ind w:left="2400" w:hanging="708"/>
      </w:pPr>
      <w:rPr>
        <w:rFonts w:hint="default"/>
        <w:lang w:val="es-ES" w:eastAsia="es-ES" w:bidi="es-ES"/>
      </w:rPr>
    </w:lvl>
    <w:lvl w:ilvl="8">
      <w:start w:val="0"/>
      <w:numFmt w:val="bullet"/>
      <w:lvlText w:val="•"/>
      <w:lvlJc w:val="left"/>
      <w:pPr>
        <w:ind w:left="2729" w:hanging="708"/>
      </w:pPr>
      <w:rPr>
        <w:rFonts w:hint="default"/>
        <w:lang w:val="es-ES" w:eastAsia="es-ES" w:bidi="es-ES"/>
      </w:rPr>
    </w:lvl>
  </w:abstractNum>
  <w:abstractNum w:abstractNumId="26">
    <w:multiLevelType w:val="hybridMultilevel"/>
    <w:lvl w:ilvl="0">
      <w:start w:val="1"/>
      <w:numFmt w:val="decimal"/>
      <w:lvlText w:val="%1."/>
      <w:lvlJc w:val="left"/>
      <w:pPr>
        <w:ind w:left="107" w:hanging="708"/>
        <w:jc w:val="left"/>
      </w:pPr>
      <w:rPr>
        <w:rFonts w:hint="default" w:ascii="Calibri" w:hAnsi="Calibri" w:eastAsia="Calibri" w:cs="Calibri"/>
        <w:w w:val="100"/>
        <w:sz w:val="22"/>
        <w:szCs w:val="22"/>
        <w:lang w:val="es-ES" w:eastAsia="es-ES" w:bidi="es-ES"/>
      </w:rPr>
    </w:lvl>
    <w:lvl w:ilvl="1">
      <w:start w:val="0"/>
      <w:numFmt w:val="bullet"/>
      <w:lvlText w:val="•"/>
      <w:lvlJc w:val="left"/>
      <w:pPr>
        <w:ind w:left="712" w:hanging="708"/>
      </w:pPr>
      <w:rPr>
        <w:rFonts w:hint="default"/>
        <w:lang w:val="es-ES" w:eastAsia="es-ES" w:bidi="es-ES"/>
      </w:rPr>
    </w:lvl>
    <w:lvl w:ilvl="2">
      <w:start w:val="0"/>
      <w:numFmt w:val="bullet"/>
      <w:lvlText w:val="•"/>
      <w:lvlJc w:val="left"/>
      <w:pPr>
        <w:ind w:left="1325" w:hanging="708"/>
      </w:pPr>
      <w:rPr>
        <w:rFonts w:hint="default"/>
        <w:lang w:val="es-ES" w:eastAsia="es-ES" w:bidi="es-ES"/>
      </w:rPr>
    </w:lvl>
    <w:lvl w:ilvl="3">
      <w:start w:val="0"/>
      <w:numFmt w:val="bullet"/>
      <w:lvlText w:val="•"/>
      <w:lvlJc w:val="left"/>
      <w:pPr>
        <w:ind w:left="1938" w:hanging="708"/>
      </w:pPr>
      <w:rPr>
        <w:rFonts w:hint="default"/>
        <w:lang w:val="es-ES" w:eastAsia="es-ES" w:bidi="es-ES"/>
      </w:rPr>
    </w:lvl>
    <w:lvl w:ilvl="4">
      <w:start w:val="0"/>
      <w:numFmt w:val="bullet"/>
      <w:lvlText w:val="•"/>
      <w:lvlJc w:val="left"/>
      <w:pPr>
        <w:ind w:left="2551" w:hanging="708"/>
      </w:pPr>
      <w:rPr>
        <w:rFonts w:hint="default"/>
        <w:lang w:val="es-ES" w:eastAsia="es-ES" w:bidi="es-ES"/>
      </w:rPr>
    </w:lvl>
    <w:lvl w:ilvl="5">
      <w:start w:val="0"/>
      <w:numFmt w:val="bullet"/>
      <w:lvlText w:val="•"/>
      <w:lvlJc w:val="left"/>
      <w:pPr>
        <w:ind w:left="3164" w:hanging="708"/>
      </w:pPr>
      <w:rPr>
        <w:rFonts w:hint="default"/>
        <w:lang w:val="es-ES" w:eastAsia="es-ES" w:bidi="es-ES"/>
      </w:rPr>
    </w:lvl>
    <w:lvl w:ilvl="6">
      <w:start w:val="0"/>
      <w:numFmt w:val="bullet"/>
      <w:lvlText w:val="•"/>
      <w:lvlJc w:val="left"/>
      <w:pPr>
        <w:ind w:left="3777" w:hanging="708"/>
      </w:pPr>
      <w:rPr>
        <w:rFonts w:hint="default"/>
        <w:lang w:val="es-ES" w:eastAsia="es-ES" w:bidi="es-ES"/>
      </w:rPr>
    </w:lvl>
    <w:lvl w:ilvl="7">
      <w:start w:val="0"/>
      <w:numFmt w:val="bullet"/>
      <w:lvlText w:val="•"/>
      <w:lvlJc w:val="left"/>
      <w:pPr>
        <w:ind w:left="4390" w:hanging="708"/>
      </w:pPr>
      <w:rPr>
        <w:rFonts w:hint="default"/>
        <w:lang w:val="es-ES" w:eastAsia="es-ES" w:bidi="es-ES"/>
      </w:rPr>
    </w:lvl>
    <w:lvl w:ilvl="8">
      <w:start w:val="0"/>
      <w:numFmt w:val="bullet"/>
      <w:lvlText w:val="•"/>
      <w:lvlJc w:val="left"/>
      <w:pPr>
        <w:ind w:left="5003" w:hanging="708"/>
      </w:pPr>
      <w:rPr>
        <w:rFonts w:hint="default"/>
        <w:lang w:val="es-ES" w:eastAsia="es-ES" w:bidi="es-ES"/>
      </w:rPr>
    </w:lvl>
  </w:abstractNum>
  <w:abstractNum w:abstractNumId="25">
    <w:multiLevelType w:val="hybridMultilevel"/>
    <w:lvl w:ilvl="0">
      <w:start w:val="1"/>
      <w:numFmt w:val="decimal"/>
      <w:lvlText w:val="%1."/>
      <w:lvlJc w:val="left"/>
      <w:pPr>
        <w:ind w:left="465"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838" w:hanging="360"/>
      </w:pPr>
      <w:rPr>
        <w:rFonts w:hint="default"/>
        <w:lang w:val="es-ES" w:eastAsia="es-ES" w:bidi="es-ES"/>
      </w:rPr>
    </w:lvl>
    <w:lvl w:ilvl="2">
      <w:start w:val="0"/>
      <w:numFmt w:val="bullet"/>
      <w:lvlText w:val="•"/>
      <w:lvlJc w:val="left"/>
      <w:pPr>
        <w:ind w:left="1216" w:hanging="360"/>
      </w:pPr>
      <w:rPr>
        <w:rFonts w:hint="default"/>
        <w:lang w:val="es-ES" w:eastAsia="es-ES" w:bidi="es-ES"/>
      </w:rPr>
    </w:lvl>
    <w:lvl w:ilvl="3">
      <w:start w:val="0"/>
      <w:numFmt w:val="bullet"/>
      <w:lvlText w:val="•"/>
      <w:lvlJc w:val="left"/>
      <w:pPr>
        <w:ind w:left="1594" w:hanging="360"/>
      </w:pPr>
      <w:rPr>
        <w:rFonts w:hint="default"/>
        <w:lang w:val="es-ES" w:eastAsia="es-ES" w:bidi="es-ES"/>
      </w:rPr>
    </w:lvl>
    <w:lvl w:ilvl="4">
      <w:start w:val="0"/>
      <w:numFmt w:val="bullet"/>
      <w:lvlText w:val="•"/>
      <w:lvlJc w:val="left"/>
      <w:pPr>
        <w:ind w:left="1972" w:hanging="360"/>
      </w:pPr>
      <w:rPr>
        <w:rFonts w:hint="default"/>
        <w:lang w:val="es-ES" w:eastAsia="es-ES" w:bidi="es-ES"/>
      </w:rPr>
    </w:lvl>
    <w:lvl w:ilvl="5">
      <w:start w:val="0"/>
      <w:numFmt w:val="bullet"/>
      <w:lvlText w:val="•"/>
      <w:lvlJc w:val="left"/>
      <w:pPr>
        <w:ind w:left="2350" w:hanging="360"/>
      </w:pPr>
      <w:rPr>
        <w:rFonts w:hint="default"/>
        <w:lang w:val="es-ES" w:eastAsia="es-ES" w:bidi="es-ES"/>
      </w:rPr>
    </w:lvl>
    <w:lvl w:ilvl="6">
      <w:start w:val="0"/>
      <w:numFmt w:val="bullet"/>
      <w:lvlText w:val="•"/>
      <w:lvlJc w:val="left"/>
      <w:pPr>
        <w:ind w:left="2728" w:hanging="360"/>
      </w:pPr>
      <w:rPr>
        <w:rFonts w:hint="default"/>
        <w:lang w:val="es-ES" w:eastAsia="es-ES" w:bidi="es-ES"/>
      </w:rPr>
    </w:lvl>
    <w:lvl w:ilvl="7">
      <w:start w:val="0"/>
      <w:numFmt w:val="bullet"/>
      <w:lvlText w:val="•"/>
      <w:lvlJc w:val="left"/>
      <w:pPr>
        <w:ind w:left="3106" w:hanging="360"/>
      </w:pPr>
      <w:rPr>
        <w:rFonts w:hint="default"/>
        <w:lang w:val="es-ES" w:eastAsia="es-ES" w:bidi="es-ES"/>
      </w:rPr>
    </w:lvl>
    <w:lvl w:ilvl="8">
      <w:start w:val="0"/>
      <w:numFmt w:val="bullet"/>
      <w:lvlText w:val="•"/>
      <w:lvlJc w:val="left"/>
      <w:pPr>
        <w:ind w:left="3484" w:hanging="360"/>
      </w:pPr>
      <w:rPr>
        <w:rFonts w:hint="default"/>
        <w:lang w:val="es-ES" w:eastAsia="es-ES" w:bidi="es-ES"/>
      </w:rPr>
    </w:lvl>
  </w:abstractNum>
  <w:abstractNum w:abstractNumId="24">
    <w:multiLevelType w:val="hybridMultilevel"/>
    <w:lvl w:ilvl="0">
      <w:start w:val="1"/>
      <w:numFmt w:val="decimal"/>
      <w:lvlText w:val="%1."/>
      <w:lvlJc w:val="left"/>
      <w:pPr>
        <w:ind w:left="467"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951" w:hanging="360"/>
      </w:pPr>
      <w:rPr>
        <w:rFonts w:hint="default"/>
        <w:lang w:val="es-ES" w:eastAsia="es-ES" w:bidi="es-ES"/>
      </w:rPr>
    </w:lvl>
    <w:lvl w:ilvl="2">
      <w:start w:val="0"/>
      <w:numFmt w:val="bullet"/>
      <w:lvlText w:val="•"/>
      <w:lvlJc w:val="left"/>
      <w:pPr>
        <w:ind w:left="1442" w:hanging="360"/>
      </w:pPr>
      <w:rPr>
        <w:rFonts w:hint="default"/>
        <w:lang w:val="es-ES" w:eastAsia="es-ES" w:bidi="es-ES"/>
      </w:rPr>
    </w:lvl>
    <w:lvl w:ilvl="3">
      <w:start w:val="0"/>
      <w:numFmt w:val="bullet"/>
      <w:lvlText w:val="•"/>
      <w:lvlJc w:val="left"/>
      <w:pPr>
        <w:ind w:left="1934" w:hanging="360"/>
      </w:pPr>
      <w:rPr>
        <w:rFonts w:hint="default"/>
        <w:lang w:val="es-ES" w:eastAsia="es-ES" w:bidi="es-ES"/>
      </w:rPr>
    </w:lvl>
    <w:lvl w:ilvl="4">
      <w:start w:val="0"/>
      <w:numFmt w:val="bullet"/>
      <w:lvlText w:val="•"/>
      <w:lvlJc w:val="left"/>
      <w:pPr>
        <w:ind w:left="2425" w:hanging="360"/>
      </w:pPr>
      <w:rPr>
        <w:rFonts w:hint="default"/>
        <w:lang w:val="es-ES" w:eastAsia="es-ES" w:bidi="es-ES"/>
      </w:rPr>
    </w:lvl>
    <w:lvl w:ilvl="5">
      <w:start w:val="0"/>
      <w:numFmt w:val="bullet"/>
      <w:lvlText w:val="•"/>
      <w:lvlJc w:val="left"/>
      <w:pPr>
        <w:ind w:left="2917" w:hanging="360"/>
      </w:pPr>
      <w:rPr>
        <w:rFonts w:hint="default"/>
        <w:lang w:val="es-ES" w:eastAsia="es-ES" w:bidi="es-ES"/>
      </w:rPr>
    </w:lvl>
    <w:lvl w:ilvl="6">
      <w:start w:val="0"/>
      <w:numFmt w:val="bullet"/>
      <w:lvlText w:val="•"/>
      <w:lvlJc w:val="left"/>
      <w:pPr>
        <w:ind w:left="3408" w:hanging="360"/>
      </w:pPr>
      <w:rPr>
        <w:rFonts w:hint="default"/>
        <w:lang w:val="es-ES" w:eastAsia="es-ES" w:bidi="es-ES"/>
      </w:rPr>
    </w:lvl>
    <w:lvl w:ilvl="7">
      <w:start w:val="0"/>
      <w:numFmt w:val="bullet"/>
      <w:lvlText w:val="•"/>
      <w:lvlJc w:val="left"/>
      <w:pPr>
        <w:ind w:left="3899" w:hanging="360"/>
      </w:pPr>
      <w:rPr>
        <w:rFonts w:hint="default"/>
        <w:lang w:val="es-ES" w:eastAsia="es-ES" w:bidi="es-ES"/>
      </w:rPr>
    </w:lvl>
    <w:lvl w:ilvl="8">
      <w:start w:val="0"/>
      <w:numFmt w:val="bullet"/>
      <w:lvlText w:val="•"/>
      <w:lvlJc w:val="left"/>
      <w:pPr>
        <w:ind w:left="4391" w:hanging="360"/>
      </w:pPr>
      <w:rPr>
        <w:rFonts w:hint="default"/>
        <w:lang w:val="es-ES" w:eastAsia="es-ES" w:bidi="es-ES"/>
      </w:rPr>
    </w:lvl>
  </w:abstractNum>
  <w:abstractNum w:abstractNumId="23">
    <w:multiLevelType w:val="hybridMultilevel"/>
    <w:lvl w:ilvl="0">
      <w:start w:val="11"/>
      <w:numFmt w:val="decimal"/>
      <w:lvlText w:val="%1."/>
      <w:lvlJc w:val="left"/>
      <w:pPr>
        <w:ind w:left="463"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93" w:hanging="360"/>
      </w:pPr>
      <w:rPr>
        <w:rFonts w:hint="default"/>
        <w:lang w:val="es-ES" w:eastAsia="es-ES" w:bidi="es-ES"/>
      </w:rPr>
    </w:lvl>
    <w:lvl w:ilvl="2">
      <w:start w:val="0"/>
      <w:numFmt w:val="bullet"/>
      <w:lvlText w:val="•"/>
      <w:lvlJc w:val="left"/>
      <w:pPr>
        <w:ind w:left="1726" w:hanging="360"/>
      </w:pPr>
      <w:rPr>
        <w:rFonts w:hint="default"/>
        <w:lang w:val="es-ES" w:eastAsia="es-ES" w:bidi="es-ES"/>
      </w:rPr>
    </w:lvl>
    <w:lvl w:ilvl="3">
      <w:start w:val="0"/>
      <w:numFmt w:val="bullet"/>
      <w:lvlText w:val="•"/>
      <w:lvlJc w:val="left"/>
      <w:pPr>
        <w:ind w:left="2359" w:hanging="360"/>
      </w:pPr>
      <w:rPr>
        <w:rFonts w:hint="default"/>
        <w:lang w:val="es-ES" w:eastAsia="es-ES" w:bidi="es-ES"/>
      </w:rPr>
    </w:lvl>
    <w:lvl w:ilvl="4">
      <w:start w:val="0"/>
      <w:numFmt w:val="bullet"/>
      <w:lvlText w:val="•"/>
      <w:lvlJc w:val="left"/>
      <w:pPr>
        <w:ind w:left="2992" w:hanging="360"/>
      </w:pPr>
      <w:rPr>
        <w:rFonts w:hint="default"/>
        <w:lang w:val="es-ES" w:eastAsia="es-ES" w:bidi="es-ES"/>
      </w:rPr>
    </w:lvl>
    <w:lvl w:ilvl="5">
      <w:start w:val="0"/>
      <w:numFmt w:val="bullet"/>
      <w:lvlText w:val="•"/>
      <w:lvlJc w:val="left"/>
      <w:pPr>
        <w:ind w:left="3625" w:hanging="360"/>
      </w:pPr>
      <w:rPr>
        <w:rFonts w:hint="default"/>
        <w:lang w:val="es-ES" w:eastAsia="es-ES" w:bidi="es-ES"/>
      </w:rPr>
    </w:lvl>
    <w:lvl w:ilvl="6">
      <w:start w:val="0"/>
      <w:numFmt w:val="bullet"/>
      <w:lvlText w:val="•"/>
      <w:lvlJc w:val="left"/>
      <w:pPr>
        <w:ind w:left="4258" w:hanging="360"/>
      </w:pPr>
      <w:rPr>
        <w:rFonts w:hint="default"/>
        <w:lang w:val="es-ES" w:eastAsia="es-ES" w:bidi="es-ES"/>
      </w:rPr>
    </w:lvl>
    <w:lvl w:ilvl="7">
      <w:start w:val="0"/>
      <w:numFmt w:val="bullet"/>
      <w:lvlText w:val="•"/>
      <w:lvlJc w:val="left"/>
      <w:pPr>
        <w:ind w:left="4891" w:hanging="360"/>
      </w:pPr>
      <w:rPr>
        <w:rFonts w:hint="default"/>
        <w:lang w:val="es-ES" w:eastAsia="es-ES" w:bidi="es-ES"/>
      </w:rPr>
    </w:lvl>
    <w:lvl w:ilvl="8">
      <w:start w:val="0"/>
      <w:numFmt w:val="bullet"/>
      <w:lvlText w:val="•"/>
      <w:lvlJc w:val="left"/>
      <w:pPr>
        <w:ind w:left="5524" w:hanging="360"/>
      </w:pPr>
      <w:rPr>
        <w:rFonts w:hint="default"/>
        <w:lang w:val="es-ES" w:eastAsia="es-ES" w:bidi="es-ES"/>
      </w:rPr>
    </w:lvl>
  </w:abstractNum>
  <w:abstractNum w:abstractNumId="22">
    <w:multiLevelType w:val="hybridMultilevel"/>
    <w:lvl w:ilvl="0">
      <w:start w:val="1"/>
      <w:numFmt w:val="decimal"/>
      <w:lvlText w:val="%1."/>
      <w:lvlJc w:val="left"/>
      <w:pPr>
        <w:ind w:left="467" w:hanging="360"/>
        <w:jc w:val="left"/>
      </w:pPr>
      <w:rPr>
        <w:rFonts w:hint="default" w:ascii="Calibri" w:hAnsi="Calibri" w:eastAsia="Calibri" w:cs="Calibri"/>
        <w:w w:val="100"/>
        <w:sz w:val="22"/>
        <w:szCs w:val="22"/>
        <w:lang w:val="es-ES" w:eastAsia="es-ES" w:bidi="es-ES"/>
      </w:rPr>
    </w:lvl>
    <w:lvl w:ilvl="1">
      <w:start w:val="0"/>
      <w:numFmt w:val="bullet"/>
      <w:lvlText w:val="•"/>
      <w:lvlJc w:val="left"/>
      <w:pPr>
        <w:ind w:left="696" w:hanging="360"/>
      </w:pPr>
      <w:rPr>
        <w:rFonts w:hint="default"/>
        <w:lang w:val="es-ES" w:eastAsia="es-ES" w:bidi="es-ES"/>
      </w:rPr>
    </w:lvl>
    <w:lvl w:ilvl="2">
      <w:start w:val="0"/>
      <w:numFmt w:val="bullet"/>
      <w:lvlText w:val="•"/>
      <w:lvlJc w:val="left"/>
      <w:pPr>
        <w:ind w:left="933" w:hanging="360"/>
      </w:pPr>
      <w:rPr>
        <w:rFonts w:hint="default"/>
        <w:lang w:val="es-ES" w:eastAsia="es-ES" w:bidi="es-ES"/>
      </w:rPr>
    </w:lvl>
    <w:lvl w:ilvl="3">
      <w:start w:val="0"/>
      <w:numFmt w:val="bullet"/>
      <w:lvlText w:val="•"/>
      <w:lvlJc w:val="left"/>
      <w:pPr>
        <w:ind w:left="1169" w:hanging="360"/>
      </w:pPr>
      <w:rPr>
        <w:rFonts w:hint="default"/>
        <w:lang w:val="es-ES" w:eastAsia="es-ES" w:bidi="es-ES"/>
      </w:rPr>
    </w:lvl>
    <w:lvl w:ilvl="4">
      <w:start w:val="0"/>
      <w:numFmt w:val="bullet"/>
      <w:lvlText w:val="•"/>
      <w:lvlJc w:val="left"/>
      <w:pPr>
        <w:ind w:left="1406" w:hanging="360"/>
      </w:pPr>
      <w:rPr>
        <w:rFonts w:hint="default"/>
        <w:lang w:val="es-ES" w:eastAsia="es-ES" w:bidi="es-ES"/>
      </w:rPr>
    </w:lvl>
    <w:lvl w:ilvl="5">
      <w:start w:val="0"/>
      <w:numFmt w:val="bullet"/>
      <w:lvlText w:val="•"/>
      <w:lvlJc w:val="left"/>
      <w:pPr>
        <w:ind w:left="1642" w:hanging="360"/>
      </w:pPr>
      <w:rPr>
        <w:rFonts w:hint="default"/>
        <w:lang w:val="es-ES" w:eastAsia="es-ES" w:bidi="es-ES"/>
      </w:rPr>
    </w:lvl>
    <w:lvl w:ilvl="6">
      <w:start w:val="0"/>
      <w:numFmt w:val="bullet"/>
      <w:lvlText w:val="•"/>
      <w:lvlJc w:val="left"/>
      <w:pPr>
        <w:ind w:left="1879" w:hanging="360"/>
      </w:pPr>
      <w:rPr>
        <w:rFonts w:hint="default"/>
        <w:lang w:val="es-ES" w:eastAsia="es-ES" w:bidi="es-ES"/>
      </w:rPr>
    </w:lvl>
    <w:lvl w:ilvl="7">
      <w:start w:val="0"/>
      <w:numFmt w:val="bullet"/>
      <w:lvlText w:val="•"/>
      <w:lvlJc w:val="left"/>
      <w:pPr>
        <w:ind w:left="2115" w:hanging="360"/>
      </w:pPr>
      <w:rPr>
        <w:rFonts w:hint="default"/>
        <w:lang w:val="es-ES" w:eastAsia="es-ES" w:bidi="es-ES"/>
      </w:rPr>
    </w:lvl>
    <w:lvl w:ilvl="8">
      <w:start w:val="0"/>
      <w:numFmt w:val="bullet"/>
      <w:lvlText w:val="•"/>
      <w:lvlJc w:val="left"/>
      <w:pPr>
        <w:ind w:left="2352" w:hanging="360"/>
      </w:pPr>
      <w:rPr>
        <w:rFonts w:hint="default"/>
        <w:lang w:val="es-ES" w:eastAsia="es-ES" w:bidi="es-ES"/>
      </w:rPr>
    </w:lvl>
  </w:abstractNum>
  <w:abstractNum w:abstractNumId="21">
    <w:multiLevelType w:val="hybridMultilevel"/>
    <w:lvl w:ilvl="0">
      <w:start w:val="1"/>
      <w:numFmt w:val="decimal"/>
      <w:lvlText w:val="%1."/>
      <w:lvlJc w:val="left"/>
      <w:pPr>
        <w:ind w:left="467"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93" w:hanging="360"/>
      </w:pPr>
      <w:rPr>
        <w:rFonts w:hint="default"/>
        <w:lang w:val="es-ES" w:eastAsia="es-ES" w:bidi="es-ES"/>
      </w:rPr>
    </w:lvl>
    <w:lvl w:ilvl="2">
      <w:start w:val="0"/>
      <w:numFmt w:val="bullet"/>
      <w:lvlText w:val="•"/>
      <w:lvlJc w:val="left"/>
      <w:pPr>
        <w:ind w:left="1726" w:hanging="360"/>
      </w:pPr>
      <w:rPr>
        <w:rFonts w:hint="default"/>
        <w:lang w:val="es-ES" w:eastAsia="es-ES" w:bidi="es-ES"/>
      </w:rPr>
    </w:lvl>
    <w:lvl w:ilvl="3">
      <w:start w:val="0"/>
      <w:numFmt w:val="bullet"/>
      <w:lvlText w:val="•"/>
      <w:lvlJc w:val="left"/>
      <w:pPr>
        <w:ind w:left="2359" w:hanging="360"/>
      </w:pPr>
      <w:rPr>
        <w:rFonts w:hint="default"/>
        <w:lang w:val="es-ES" w:eastAsia="es-ES" w:bidi="es-ES"/>
      </w:rPr>
    </w:lvl>
    <w:lvl w:ilvl="4">
      <w:start w:val="0"/>
      <w:numFmt w:val="bullet"/>
      <w:lvlText w:val="•"/>
      <w:lvlJc w:val="left"/>
      <w:pPr>
        <w:ind w:left="2992" w:hanging="360"/>
      </w:pPr>
      <w:rPr>
        <w:rFonts w:hint="default"/>
        <w:lang w:val="es-ES" w:eastAsia="es-ES" w:bidi="es-ES"/>
      </w:rPr>
    </w:lvl>
    <w:lvl w:ilvl="5">
      <w:start w:val="0"/>
      <w:numFmt w:val="bullet"/>
      <w:lvlText w:val="•"/>
      <w:lvlJc w:val="left"/>
      <w:pPr>
        <w:ind w:left="3625" w:hanging="360"/>
      </w:pPr>
      <w:rPr>
        <w:rFonts w:hint="default"/>
        <w:lang w:val="es-ES" w:eastAsia="es-ES" w:bidi="es-ES"/>
      </w:rPr>
    </w:lvl>
    <w:lvl w:ilvl="6">
      <w:start w:val="0"/>
      <w:numFmt w:val="bullet"/>
      <w:lvlText w:val="•"/>
      <w:lvlJc w:val="left"/>
      <w:pPr>
        <w:ind w:left="4258" w:hanging="360"/>
      </w:pPr>
      <w:rPr>
        <w:rFonts w:hint="default"/>
        <w:lang w:val="es-ES" w:eastAsia="es-ES" w:bidi="es-ES"/>
      </w:rPr>
    </w:lvl>
    <w:lvl w:ilvl="7">
      <w:start w:val="0"/>
      <w:numFmt w:val="bullet"/>
      <w:lvlText w:val="•"/>
      <w:lvlJc w:val="left"/>
      <w:pPr>
        <w:ind w:left="4891" w:hanging="360"/>
      </w:pPr>
      <w:rPr>
        <w:rFonts w:hint="default"/>
        <w:lang w:val="es-ES" w:eastAsia="es-ES" w:bidi="es-ES"/>
      </w:rPr>
    </w:lvl>
    <w:lvl w:ilvl="8">
      <w:start w:val="0"/>
      <w:numFmt w:val="bullet"/>
      <w:lvlText w:val="•"/>
      <w:lvlJc w:val="left"/>
      <w:pPr>
        <w:ind w:left="5524" w:hanging="360"/>
      </w:pPr>
      <w:rPr>
        <w:rFonts w:hint="default"/>
        <w:lang w:val="es-ES" w:eastAsia="es-ES" w:bidi="es-ES"/>
      </w:rPr>
    </w:lvl>
  </w:abstractNum>
  <w:abstractNum w:abstractNumId="20">
    <w:multiLevelType w:val="hybridMultilevel"/>
    <w:lvl w:ilvl="0">
      <w:start w:val="1"/>
      <w:numFmt w:val="decimal"/>
      <w:lvlText w:val="%1."/>
      <w:lvlJc w:val="left"/>
      <w:pPr>
        <w:ind w:left="468"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738" w:hanging="360"/>
      </w:pPr>
      <w:rPr>
        <w:rFonts w:hint="default"/>
        <w:lang w:val="es-ES" w:eastAsia="es-ES" w:bidi="es-ES"/>
      </w:rPr>
    </w:lvl>
    <w:lvl w:ilvl="2">
      <w:start w:val="0"/>
      <w:numFmt w:val="bullet"/>
      <w:lvlText w:val="•"/>
      <w:lvlJc w:val="left"/>
      <w:pPr>
        <w:ind w:left="1017" w:hanging="360"/>
      </w:pPr>
      <w:rPr>
        <w:rFonts w:hint="default"/>
        <w:lang w:val="es-ES" w:eastAsia="es-ES" w:bidi="es-ES"/>
      </w:rPr>
    </w:lvl>
    <w:lvl w:ilvl="3">
      <w:start w:val="0"/>
      <w:numFmt w:val="bullet"/>
      <w:lvlText w:val="•"/>
      <w:lvlJc w:val="left"/>
      <w:pPr>
        <w:ind w:left="1296" w:hanging="360"/>
      </w:pPr>
      <w:rPr>
        <w:rFonts w:hint="default"/>
        <w:lang w:val="es-ES" w:eastAsia="es-ES" w:bidi="es-ES"/>
      </w:rPr>
    </w:lvl>
    <w:lvl w:ilvl="4">
      <w:start w:val="0"/>
      <w:numFmt w:val="bullet"/>
      <w:lvlText w:val="•"/>
      <w:lvlJc w:val="left"/>
      <w:pPr>
        <w:ind w:left="1575" w:hanging="360"/>
      </w:pPr>
      <w:rPr>
        <w:rFonts w:hint="default"/>
        <w:lang w:val="es-ES" w:eastAsia="es-ES" w:bidi="es-ES"/>
      </w:rPr>
    </w:lvl>
    <w:lvl w:ilvl="5">
      <w:start w:val="0"/>
      <w:numFmt w:val="bullet"/>
      <w:lvlText w:val="•"/>
      <w:lvlJc w:val="left"/>
      <w:pPr>
        <w:ind w:left="1854" w:hanging="360"/>
      </w:pPr>
      <w:rPr>
        <w:rFonts w:hint="default"/>
        <w:lang w:val="es-ES" w:eastAsia="es-ES" w:bidi="es-ES"/>
      </w:rPr>
    </w:lvl>
    <w:lvl w:ilvl="6">
      <w:start w:val="0"/>
      <w:numFmt w:val="bullet"/>
      <w:lvlText w:val="•"/>
      <w:lvlJc w:val="left"/>
      <w:pPr>
        <w:ind w:left="2133" w:hanging="360"/>
      </w:pPr>
      <w:rPr>
        <w:rFonts w:hint="default"/>
        <w:lang w:val="es-ES" w:eastAsia="es-ES" w:bidi="es-ES"/>
      </w:rPr>
    </w:lvl>
    <w:lvl w:ilvl="7">
      <w:start w:val="0"/>
      <w:numFmt w:val="bullet"/>
      <w:lvlText w:val="•"/>
      <w:lvlJc w:val="left"/>
      <w:pPr>
        <w:ind w:left="2412" w:hanging="360"/>
      </w:pPr>
      <w:rPr>
        <w:rFonts w:hint="default"/>
        <w:lang w:val="es-ES" w:eastAsia="es-ES" w:bidi="es-ES"/>
      </w:rPr>
    </w:lvl>
    <w:lvl w:ilvl="8">
      <w:start w:val="0"/>
      <w:numFmt w:val="bullet"/>
      <w:lvlText w:val="•"/>
      <w:lvlJc w:val="left"/>
      <w:pPr>
        <w:ind w:left="2691" w:hanging="360"/>
      </w:pPr>
      <w:rPr>
        <w:rFonts w:hint="default"/>
        <w:lang w:val="es-ES" w:eastAsia="es-ES" w:bidi="es-ES"/>
      </w:rPr>
    </w:lvl>
  </w:abstractNum>
  <w:abstractNum w:abstractNumId="19">
    <w:multiLevelType w:val="hybridMultilevel"/>
    <w:lvl w:ilvl="0">
      <w:start w:val="1"/>
      <w:numFmt w:val="decimal"/>
      <w:lvlText w:val="%1."/>
      <w:lvlJc w:val="left"/>
      <w:pPr>
        <w:ind w:left="467"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50" w:hanging="360"/>
      </w:pPr>
      <w:rPr>
        <w:rFonts w:hint="default"/>
        <w:lang w:val="es-ES" w:eastAsia="es-ES" w:bidi="es-ES"/>
      </w:rPr>
    </w:lvl>
    <w:lvl w:ilvl="2">
      <w:start w:val="0"/>
      <w:numFmt w:val="bullet"/>
      <w:lvlText w:val="•"/>
      <w:lvlJc w:val="left"/>
      <w:pPr>
        <w:ind w:left="1641" w:hanging="360"/>
      </w:pPr>
      <w:rPr>
        <w:rFonts w:hint="default"/>
        <w:lang w:val="es-ES" w:eastAsia="es-ES" w:bidi="es-ES"/>
      </w:rPr>
    </w:lvl>
    <w:lvl w:ilvl="3">
      <w:start w:val="0"/>
      <w:numFmt w:val="bullet"/>
      <w:lvlText w:val="•"/>
      <w:lvlJc w:val="left"/>
      <w:pPr>
        <w:ind w:left="2231" w:hanging="360"/>
      </w:pPr>
      <w:rPr>
        <w:rFonts w:hint="default"/>
        <w:lang w:val="es-ES" w:eastAsia="es-ES" w:bidi="es-ES"/>
      </w:rPr>
    </w:lvl>
    <w:lvl w:ilvl="4">
      <w:start w:val="0"/>
      <w:numFmt w:val="bullet"/>
      <w:lvlText w:val="•"/>
      <w:lvlJc w:val="left"/>
      <w:pPr>
        <w:ind w:left="2822" w:hanging="360"/>
      </w:pPr>
      <w:rPr>
        <w:rFonts w:hint="default"/>
        <w:lang w:val="es-ES" w:eastAsia="es-ES" w:bidi="es-ES"/>
      </w:rPr>
    </w:lvl>
    <w:lvl w:ilvl="5">
      <w:start w:val="0"/>
      <w:numFmt w:val="bullet"/>
      <w:lvlText w:val="•"/>
      <w:lvlJc w:val="left"/>
      <w:pPr>
        <w:ind w:left="3412" w:hanging="360"/>
      </w:pPr>
      <w:rPr>
        <w:rFonts w:hint="default"/>
        <w:lang w:val="es-ES" w:eastAsia="es-ES" w:bidi="es-ES"/>
      </w:rPr>
    </w:lvl>
    <w:lvl w:ilvl="6">
      <w:start w:val="0"/>
      <w:numFmt w:val="bullet"/>
      <w:lvlText w:val="•"/>
      <w:lvlJc w:val="left"/>
      <w:pPr>
        <w:ind w:left="4003" w:hanging="360"/>
      </w:pPr>
      <w:rPr>
        <w:rFonts w:hint="default"/>
        <w:lang w:val="es-ES" w:eastAsia="es-ES" w:bidi="es-ES"/>
      </w:rPr>
    </w:lvl>
    <w:lvl w:ilvl="7">
      <w:start w:val="0"/>
      <w:numFmt w:val="bullet"/>
      <w:lvlText w:val="•"/>
      <w:lvlJc w:val="left"/>
      <w:pPr>
        <w:ind w:left="4593" w:hanging="360"/>
      </w:pPr>
      <w:rPr>
        <w:rFonts w:hint="default"/>
        <w:lang w:val="es-ES" w:eastAsia="es-ES" w:bidi="es-ES"/>
      </w:rPr>
    </w:lvl>
    <w:lvl w:ilvl="8">
      <w:start w:val="0"/>
      <w:numFmt w:val="bullet"/>
      <w:lvlText w:val="•"/>
      <w:lvlJc w:val="left"/>
      <w:pPr>
        <w:ind w:left="5184" w:hanging="360"/>
      </w:pPr>
      <w:rPr>
        <w:rFonts w:hint="default"/>
        <w:lang w:val="es-ES" w:eastAsia="es-ES" w:bidi="es-ES"/>
      </w:rPr>
    </w:lvl>
  </w:abstractNum>
  <w:abstractNum w:abstractNumId="18">
    <w:multiLevelType w:val="hybridMultilevel"/>
    <w:lvl w:ilvl="0">
      <w:start w:val="1"/>
      <w:numFmt w:val="decimal"/>
      <w:lvlText w:val="%1."/>
      <w:lvlJc w:val="left"/>
      <w:pPr>
        <w:ind w:left="467"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178" w:hanging="360"/>
      </w:pPr>
      <w:rPr>
        <w:rFonts w:hint="default"/>
        <w:lang w:val="es-ES" w:eastAsia="es-ES" w:bidi="es-ES"/>
      </w:rPr>
    </w:lvl>
    <w:lvl w:ilvl="2">
      <w:start w:val="0"/>
      <w:numFmt w:val="bullet"/>
      <w:lvlText w:val="•"/>
      <w:lvlJc w:val="left"/>
      <w:pPr>
        <w:ind w:left="1896" w:hanging="360"/>
      </w:pPr>
      <w:rPr>
        <w:rFonts w:hint="default"/>
        <w:lang w:val="es-ES" w:eastAsia="es-ES" w:bidi="es-ES"/>
      </w:rPr>
    </w:lvl>
    <w:lvl w:ilvl="3">
      <w:start w:val="0"/>
      <w:numFmt w:val="bullet"/>
      <w:lvlText w:val="•"/>
      <w:lvlJc w:val="left"/>
      <w:pPr>
        <w:ind w:left="2614" w:hanging="360"/>
      </w:pPr>
      <w:rPr>
        <w:rFonts w:hint="default"/>
        <w:lang w:val="es-ES" w:eastAsia="es-ES" w:bidi="es-ES"/>
      </w:rPr>
    </w:lvl>
    <w:lvl w:ilvl="4">
      <w:start w:val="0"/>
      <w:numFmt w:val="bullet"/>
      <w:lvlText w:val="•"/>
      <w:lvlJc w:val="left"/>
      <w:pPr>
        <w:ind w:left="3333" w:hanging="360"/>
      </w:pPr>
      <w:rPr>
        <w:rFonts w:hint="default"/>
        <w:lang w:val="es-ES" w:eastAsia="es-ES" w:bidi="es-ES"/>
      </w:rPr>
    </w:lvl>
    <w:lvl w:ilvl="5">
      <w:start w:val="0"/>
      <w:numFmt w:val="bullet"/>
      <w:lvlText w:val="•"/>
      <w:lvlJc w:val="left"/>
      <w:pPr>
        <w:ind w:left="4051" w:hanging="360"/>
      </w:pPr>
      <w:rPr>
        <w:rFonts w:hint="default"/>
        <w:lang w:val="es-ES" w:eastAsia="es-ES" w:bidi="es-ES"/>
      </w:rPr>
    </w:lvl>
    <w:lvl w:ilvl="6">
      <w:start w:val="0"/>
      <w:numFmt w:val="bullet"/>
      <w:lvlText w:val="•"/>
      <w:lvlJc w:val="left"/>
      <w:pPr>
        <w:ind w:left="4769" w:hanging="360"/>
      </w:pPr>
      <w:rPr>
        <w:rFonts w:hint="default"/>
        <w:lang w:val="es-ES" w:eastAsia="es-ES" w:bidi="es-ES"/>
      </w:rPr>
    </w:lvl>
    <w:lvl w:ilvl="7">
      <w:start w:val="0"/>
      <w:numFmt w:val="bullet"/>
      <w:lvlText w:val="•"/>
      <w:lvlJc w:val="left"/>
      <w:pPr>
        <w:ind w:left="5488" w:hanging="360"/>
      </w:pPr>
      <w:rPr>
        <w:rFonts w:hint="default"/>
        <w:lang w:val="es-ES" w:eastAsia="es-ES" w:bidi="es-ES"/>
      </w:rPr>
    </w:lvl>
    <w:lvl w:ilvl="8">
      <w:start w:val="0"/>
      <w:numFmt w:val="bullet"/>
      <w:lvlText w:val="•"/>
      <w:lvlJc w:val="left"/>
      <w:pPr>
        <w:ind w:left="6206" w:hanging="360"/>
      </w:pPr>
      <w:rPr>
        <w:rFonts w:hint="default"/>
        <w:lang w:val="es-ES" w:eastAsia="es-ES" w:bidi="es-ES"/>
      </w:rPr>
    </w:lvl>
  </w:abstractNum>
  <w:abstractNum w:abstractNumId="17">
    <w:multiLevelType w:val="hybridMultilevel"/>
    <w:lvl w:ilvl="0">
      <w:start w:val="37"/>
      <w:numFmt w:val="decimal"/>
      <w:lvlText w:val="%1."/>
      <w:lvlJc w:val="left"/>
      <w:pPr>
        <w:ind w:left="439" w:hanging="361"/>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18" w:hanging="361"/>
      </w:pPr>
      <w:rPr>
        <w:rFonts w:hint="default"/>
        <w:lang w:val="es-ES" w:eastAsia="es-ES" w:bidi="es-ES"/>
      </w:rPr>
    </w:lvl>
    <w:lvl w:ilvl="2">
      <w:start w:val="0"/>
      <w:numFmt w:val="bullet"/>
      <w:lvlText w:val="•"/>
      <w:lvlJc w:val="left"/>
      <w:pPr>
        <w:ind w:left="1596" w:hanging="361"/>
      </w:pPr>
      <w:rPr>
        <w:rFonts w:hint="default"/>
        <w:lang w:val="es-ES" w:eastAsia="es-ES" w:bidi="es-ES"/>
      </w:rPr>
    </w:lvl>
    <w:lvl w:ilvl="3">
      <w:start w:val="0"/>
      <w:numFmt w:val="bullet"/>
      <w:lvlText w:val="•"/>
      <w:lvlJc w:val="left"/>
      <w:pPr>
        <w:ind w:left="2175" w:hanging="361"/>
      </w:pPr>
      <w:rPr>
        <w:rFonts w:hint="default"/>
        <w:lang w:val="es-ES" w:eastAsia="es-ES" w:bidi="es-ES"/>
      </w:rPr>
    </w:lvl>
    <w:lvl w:ilvl="4">
      <w:start w:val="0"/>
      <w:numFmt w:val="bullet"/>
      <w:lvlText w:val="•"/>
      <w:lvlJc w:val="left"/>
      <w:pPr>
        <w:ind w:left="2753" w:hanging="361"/>
      </w:pPr>
      <w:rPr>
        <w:rFonts w:hint="default"/>
        <w:lang w:val="es-ES" w:eastAsia="es-ES" w:bidi="es-ES"/>
      </w:rPr>
    </w:lvl>
    <w:lvl w:ilvl="5">
      <w:start w:val="0"/>
      <w:numFmt w:val="bullet"/>
      <w:lvlText w:val="•"/>
      <w:lvlJc w:val="left"/>
      <w:pPr>
        <w:ind w:left="3332" w:hanging="361"/>
      </w:pPr>
      <w:rPr>
        <w:rFonts w:hint="default"/>
        <w:lang w:val="es-ES" w:eastAsia="es-ES" w:bidi="es-ES"/>
      </w:rPr>
    </w:lvl>
    <w:lvl w:ilvl="6">
      <w:start w:val="0"/>
      <w:numFmt w:val="bullet"/>
      <w:lvlText w:val="•"/>
      <w:lvlJc w:val="left"/>
      <w:pPr>
        <w:ind w:left="3910" w:hanging="361"/>
      </w:pPr>
      <w:rPr>
        <w:rFonts w:hint="default"/>
        <w:lang w:val="es-ES" w:eastAsia="es-ES" w:bidi="es-ES"/>
      </w:rPr>
    </w:lvl>
    <w:lvl w:ilvl="7">
      <w:start w:val="0"/>
      <w:numFmt w:val="bullet"/>
      <w:lvlText w:val="•"/>
      <w:lvlJc w:val="left"/>
      <w:pPr>
        <w:ind w:left="4489" w:hanging="361"/>
      </w:pPr>
      <w:rPr>
        <w:rFonts w:hint="default"/>
        <w:lang w:val="es-ES" w:eastAsia="es-ES" w:bidi="es-ES"/>
      </w:rPr>
    </w:lvl>
    <w:lvl w:ilvl="8">
      <w:start w:val="0"/>
      <w:numFmt w:val="bullet"/>
      <w:lvlText w:val="•"/>
      <w:lvlJc w:val="left"/>
      <w:pPr>
        <w:ind w:left="5067" w:hanging="361"/>
      </w:pPr>
      <w:rPr>
        <w:rFonts w:hint="default"/>
        <w:lang w:val="es-ES" w:eastAsia="es-ES" w:bidi="es-ES"/>
      </w:rPr>
    </w:lvl>
  </w:abstractNum>
  <w:abstractNum w:abstractNumId="16">
    <w:multiLevelType w:val="hybridMultilevel"/>
    <w:lvl w:ilvl="0">
      <w:start w:val="4"/>
      <w:numFmt w:val="decimal"/>
      <w:lvlText w:val="%1."/>
      <w:lvlJc w:val="left"/>
      <w:pPr>
        <w:ind w:left="804" w:hanging="360"/>
        <w:jc w:val="right"/>
      </w:pPr>
      <w:rPr>
        <w:rFonts w:hint="default" w:ascii="Calibri" w:hAnsi="Calibri" w:eastAsia="Calibri" w:cs="Calibri"/>
        <w:spacing w:val="-1"/>
        <w:w w:val="99"/>
        <w:sz w:val="20"/>
        <w:szCs w:val="20"/>
        <w:lang w:val="es-ES" w:eastAsia="es-ES" w:bidi="es-ES"/>
      </w:rPr>
    </w:lvl>
    <w:lvl w:ilvl="1">
      <w:start w:val="0"/>
      <w:numFmt w:val="bullet"/>
      <w:lvlText w:val="•"/>
      <w:lvlJc w:val="left"/>
      <w:pPr>
        <w:ind w:left="1045" w:hanging="360"/>
      </w:pPr>
      <w:rPr>
        <w:rFonts w:hint="default"/>
        <w:lang w:val="es-ES" w:eastAsia="es-ES" w:bidi="es-ES"/>
      </w:rPr>
    </w:lvl>
    <w:lvl w:ilvl="2">
      <w:start w:val="0"/>
      <w:numFmt w:val="bullet"/>
      <w:lvlText w:val="•"/>
      <w:lvlJc w:val="left"/>
      <w:pPr>
        <w:ind w:left="1290" w:hanging="360"/>
      </w:pPr>
      <w:rPr>
        <w:rFonts w:hint="default"/>
        <w:lang w:val="es-ES" w:eastAsia="es-ES" w:bidi="es-ES"/>
      </w:rPr>
    </w:lvl>
    <w:lvl w:ilvl="3">
      <w:start w:val="0"/>
      <w:numFmt w:val="bullet"/>
      <w:lvlText w:val="•"/>
      <w:lvlJc w:val="left"/>
      <w:pPr>
        <w:ind w:left="1535" w:hanging="360"/>
      </w:pPr>
      <w:rPr>
        <w:rFonts w:hint="default"/>
        <w:lang w:val="es-ES" w:eastAsia="es-ES" w:bidi="es-ES"/>
      </w:rPr>
    </w:lvl>
    <w:lvl w:ilvl="4">
      <w:start w:val="0"/>
      <w:numFmt w:val="bullet"/>
      <w:lvlText w:val="•"/>
      <w:lvlJc w:val="left"/>
      <w:pPr>
        <w:ind w:left="1780" w:hanging="360"/>
      </w:pPr>
      <w:rPr>
        <w:rFonts w:hint="default"/>
        <w:lang w:val="es-ES" w:eastAsia="es-ES" w:bidi="es-ES"/>
      </w:rPr>
    </w:lvl>
    <w:lvl w:ilvl="5">
      <w:start w:val="0"/>
      <w:numFmt w:val="bullet"/>
      <w:lvlText w:val="•"/>
      <w:lvlJc w:val="left"/>
      <w:pPr>
        <w:ind w:left="2026" w:hanging="360"/>
      </w:pPr>
      <w:rPr>
        <w:rFonts w:hint="default"/>
        <w:lang w:val="es-ES" w:eastAsia="es-ES" w:bidi="es-ES"/>
      </w:rPr>
    </w:lvl>
    <w:lvl w:ilvl="6">
      <w:start w:val="0"/>
      <w:numFmt w:val="bullet"/>
      <w:lvlText w:val="•"/>
      <w:lvlJc w:val="left"/>
      <w:pPr>
        <w:ind w:left="2271" w:hanging="360"/>
      </w:pPr>
      <w:rPr>
        <w:rFonts w:hint="default"/>
        <w:lang w:val="es-ES" w:eastAsia="es-ES" w:bidi="es-ES"/>
      </w:rPr>
    </w:lvl>
    <w:lvl w:ilvl="7">
      <w:start w:val="0"/>
      <w:numFmt w:val="bullet"/>
      <w:lvlText w:val="•"/>
      <w:lvlJc w:val="left"/>
      <w:pPr>
        <w:ind w:left="2516" w:hanging="360"/>
      </w:pPr>
      <w:rPr>
        <w:rFonts w:hint="default"/>
        <w:lang w:val="es-ES" w:eastAsia="es-ES" w:bidi="es-ES"/>
      </w:rPr>
    </w:lvl>
    <w:lvl w:ilvl="8">
      <w:start w:val="0"/>
      <w:numFmt w:val="bullet"/>
      <w:lvlText w:val="•"/>
      <w:lvlJc w:val="left"/>
      <w:pPr>
        <w:ind w:left="2761" w:hanging="360"/>
      </w:pPr>
      <w:rPr>
        <w:rFonts w:hint="default"/>
        <w:lang w:val="es-ES" w:eastAsia="es-ES" w:bidi="es-ES"/>
      </w:rPr>
    </w:lvl>
  </w:abstractNum>
  <w:abstractNum w:abstractNumId="15">
    <w:multiLevelType w:val="hybridMultilevel"/>
    <w:lvl w:ilvl="0">
      <w:start w:val="6"/>
      <w:numFmt w:val="decimal"/>
      <w:lvlText w:val="%1."/>
      <w:lvlJc w:val="left"/>
      <w:pPr>
        <w:ind w:left="444" w:hanging="361"/>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18" w:hanging="361"/>
      </w:pPr>
      <w:rPr>
        <w:rFonts w:hint="default"/>
        <w:lang w:val="es-ES" w:eastAsia="es-ES" w:bidi="es-ES"/>
      </w:rPr>
    </w:lvl>
    <w:lvl w:ilvl="2">
      <w:start w:val="0"/>
      <w:numFmt w:val="bullet"/>
      <w:lvlText w:val="•"/>
      <w:lvlJc w:val="left"/>
      <w:pPr>
        <w:ind w:left="1596" w:hanging="361"/>
      </w:pPr>
      <w:rPr>
        <w:rFonts w:hint="default"/>
        <w:lang w:val="es-ES" w:eastAsia="es-ES" w:bidi="es-ES"/>
      </w:rPr>
    </w:lvl>
    <w:lvl w:ilvl="3">
      <w:start w:val="0"/>
      <w:numFmt w:val="bullet"/>
      <w:lvlText w:val="•"/>
      <w:lvlJc w:val="left"/>
      <w:pPr>
        <w:ind w:left="2175" w:hanging="361"/>
      </w:pPr>
      <w:rPr>
        <w:rFonts w:hint="default"/>
        <w:lang w:val="es-ES" w:eastAsia="es-ES" w:bidi="es-ES"/>
      </w:rPr>
    </w:lvl>
    <w:lvl w:ilvl="4">
      <w:start w:val="0"/>
      <w:numFmt w:val="bullet"/>
      <w:lvlText w:val="•"/>
      <w:lvlJc w:val="left"/>
      <w:pPr>
        <w:ind w:left="2753" w:hanging="361"/>
      </w:pPr>
      <w:rPr>
        <w:rFonts w:hint="default"/>
        <w:lang w:val="es-ES" w:eastAsia="es-ES" w:bidi="es-ES"/>
      </w:rPr>
    </w:lvl>
    <w:lvl w:ilvl="5">
      <w:start w:val="0"/>
      <w:numFmt w:val="bullet"/>
      <w:lvlText w:val="•"/>
      <w:lvlJc w:val="left"/>
      <w:pPr>
        <w:ind w:left="3332" w:hanging="361"/>
      </w:pPr>
      <w:rPr>
        <w:rFonts w:hint="default"/>
        <w:lang w:val="es-ES" w:eastAsia="es-ES" w:bidi="es-ES"/>
      </w:rPr>
    </w:lvl>
    <w:lvl w:ilvl="6">
      <w:start w:val="0"/>
      <w:numFmt w:val="bullet"/>
      <w:lvlText w:val="•"/>
      <w:lvlJc w:val="left"/>
      <w:pPr>
        <w:ind w:left="3910" w:hanging="361"/>
      </w:pPr>
      <w:rPr>
        <w:rFonts w:hint="default"/>
        <w:lang w:val="es-ES" w:eastAsia="es-ES" w:bidi="es-ES"/>
      </w:rPr>
    </w:lvl>
    <w:lvl w:ilvl="7">
      <w:start w:val="0"/>
      <w:numFmt w:val="bullet"/>
      <w:lvlText w:val="•"/>
      <w:lvlJc w:val="left"/>
      <w:pPr>
        <w:ind w:left="4488" w:hanging="361"/>
      </w:pPr>
      <w:rPr>
        <w:rFonts w:hint="default"/>
        <w:lang w:val="es-ES" w:eastAsia="es-ES" w:bidi="es-ES"/>
      </w:rPr>
    </w:lvl>
    <w:lvl w:ilvl="8">
      <w:start w:val="0"/>
      <w:numFmt w:val="bullet"/>
      <w:lvlText w:val="•"/>
      <w:lvlJc w:val="left"/>
      <w:pPr>
        <w:ind w:left="5067" w:hanging="361"/>
      </w:pPr>
      <w:rPr>
        <w:rFonts w:hint="default"/>
        <w:lang w:val="es-ES" w:eastAsia="es-ES" w:bidi="es-ES"/>
      </w:rPr>
    </w:lvl>
  </w:abstractNum>
  <w:abstractNum w:abstractNumId="14">
    <w:multiLevelType w:val="hybridMultilevel"/>
    <w:lvl w:ilvl="0">
      <w:start w:val="1"/>
      <w:numFmt w:val="decimal"/>
      <w:lvlText w:val="%1."/>
      <w:lvlJc w:val="left"/>
      <w:pPr>
        <w:ind w:left="804" w:hanging="360"/>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45" w:hanging="360"/>
      </w:pPr>
      <w:rPr>
        <w:rFonts w:hint="default"/>
        <w:lang w:val="es-ES" w:eastAsia="es-ES" w:bidi="es-ES"/>
      </w:rPr>
    </w:lvl>
    <w:lvl w:ilvl="2">
      <w:start w:val="0"/>
      <w:numFmt w:val="bullet"/>
      <w:lvlText w:val="•"/>
      <w:lvlJc w:val="left"/>
      <w:pPr>
        <w:ind w:left="1290" w:hanging="360"/>
      </w:pPr>
      <w:rPr>
        <w:rFonts w:hint="default"/>
        <w:lang w:val="es-ES" w:eastAsia="es-ES" w:bidi="es-ES"/>
      </w:rPr>
    </w:lvl>
    <w:lvl w:ilvl="3">
      <w:start w:val="0"/>
      <w:numFmt w:val="bullet"/>
      <w:lvlText w:val="•"/>
      <w:lvlJc w:val="left"/>
      <w:pPr>
        <w:ind w:left="1535" w:hanging="360"/>
      </w:pPr>
      <w:rPr>
        <w:rFonts w:hint="default"/>
        <w:lang w:val="es-ES" w:eastAsia="es-ES" w:bidi="es-ES"/>
      </w:rPr>
    </w:lvl>
    <w:lvl w:ilvl="4">
      <w:start w:val="0"/>
      <w:numFmt w:val="bullet"/>
      <w:lvlText w:val="•"/>
      <w:lvlJc w:val="left"/>
      <w:pPr>
        <w:ind w:left="1780" w:hanging="360"/>
      </w:pPr>
      <w:rPr>
        <w:rFonts w:hint="default"/>
        <w:lang w:val="es-ES" w:eastAsia="es-ES" w:bidi="es-ES"/>
      </w:rPr>
    </w:lvl>
    <w:lvl w:ilvl="5">
      <w:start w:val="0"/>
      <w:numFmt w:val="bullet"/>
      <w:lvlText w:val="•"/>
      <w:lvlJc w:val="left"/>
      <w:pPr>
        <w:ind w:left="2026" w:hanging="360"/>
      </w:pPr>
      <w:rPr>
        <w:rFonts w:hint="default"/>
        <w:lang w:val="es-ES" w:eastAsia="es-ES" w:bidi="es-ES"/>
      </w:rPr>
    </w:lvl>
    <w:lvl w:ilvl="6">
      <w:start w:val="0"/>
      <w:numFmt w:val="bullet"/>
      <w:lvlText w:val="•"/>
      <w:lvlJc w:val="left"/>
      <w:pPr>
        <w:ind w:left="2271" w:hanging="360"/>
      </w:pPr>
      <w:rPr>
        <w:rFonts w:hint="default"/>
        <w:lang w:val="es-ES" w:eastAsia="es-ES" w:bidi="es-ES"/>
      </w:rPr>
    </w:lvl>
    <w:lvl w:ilvl="7">
      <w:start w:val="0"/>
      <w:numFmt w:val="bullet"/>
      <w:lvlText w:val="•"/>
      <w:lvlJc w:val="left"/>
      <w:pPr>
        <w:ind w:left="2516" w:hanging="360"/>
      </w:pPr>
      <w:rPr>
        <w:rFonts w:hint="default"/>
        <w:lang w:val="es-ES" w:eastAsia="es-ES" w:bidi="es-ES"/>
      </w:rPr>
    </w:lvl>
    <w:lvl w:ilvl="8">
      <w:start w:val="0"/>
      <w:numFmt w:val="bullet"/>
      <w:lvlText w:val="•"/>
      <w:lvlJc w:val="left"/>
      <w:pPr>
        <w:ind w:left="2761" w:hanging="360"/>
      </w:pPr>
      <w:rPr>
        <w:rFonts w:hint="default"/>
        <w:lang w:val="es-ES" w:eastAsia="es-ES" w:bidi="es-ES"/>
      </w:rPr>
    </w:lvl>
  </w:abstractNum>
  <w:abstractNum w:abstractNumId="13">
    <w:multiLevelType w:val="hybridMultilevel"/>
    <w:lvl w:ilvl="0">
      <w:start w:val="1"/>
      <w:numFmt w:val="decimal"/>
      <w:lvlText w:val="%1."/>
      <w:lvlJc w:val="left"/>
      <w:pPr>
        <w:ind w:left="444" w:hanging="361"/>
        <w:jc w:val="left"/>
      </w:pPr>
      <w:rPr>
        <w:rFonts w:hint="default" w:ascii="Calibri" w:hAnsi="Calibri" w:eastAsia="Calibri" w:cs="Calibri"/>
        <w:spacing w:val="-1"/>
        <w:w w:val="99"/>
        <w:sz w:val="20"/>
        <w:szCs w:val="20"/>
        <w:lang w:val="es-ES" w:eastAsia="es-ES" w:bidi="es-ES"/>
      </w:rPr>
    </w:lvl>
    <w:lvl w:ilvl="1">
      <w:start w:val="0"/>
      <w:numFmt w:val="bullet"/>
      <w:lvlText w:val="•"/>
      <w:lvlJc w:val="left"/>
      <w:pPr>
        <w:ind w:left="1018" w:hanging="361"/>
      </w:pPr>
      <w:rPr>
        <w:rFonts w:hint="default"/>
        <w:lang w:val="es-ES" w:eastAsia="es-ES" w:bidi="es-ES"/>
      </w:rPr>
    </w:lvl>
    <w:lvl w:ilvl="2">
      <w:start w:val="0"/>
      <w:numFmt w:val="bullet"/>
      <w:lvlText w:val="•"/>
      <w:lvlJc w:val="left"/>
      <w:pPr>
        <w:ind w:left="1596" w:hanging="361"/>
      </w:pPr>
      <w:rPr>
        <w:rFonts w:hint="default"/>
        <w:lang w:val="es-ES" w:eastAsia="es-ES" w:bidi="es-ES"/>
      </w:rPr>
    </w:lvl>
    <w:lvl w:ilvl="3">
      <w:start w:val="0"/>
      <w:numFmt w:val="bullet"/>
      <w:lvlText w:val="•"/>
      <w:lvlJc w:val="left"/>
      <w:pPr>
        <w:ind w:left="2175" w:hanging="361"/>
      </w:pPr>
      <w:rPr>
        <w:rFonts w:hint="default"/>
        <w:lang w:val="es-ES" w:eastAsia="es-ES" w:bidi="es-ES"/>
      </w:rPr>
    </w:lvl>
    <w:lvl w:ilvl="4">
      <w:start w:val="0"/>
      <w:numFmt w:val="bullet"/>
      <w:lvlText w:val="•"/>
      <w:lvlJc w:val="left"/>
      <w:pPr>
        <w:ind w:left="2753" w:hanging="361"/>
      </w:pPr>
      <w:rPr>
        <w:rFonts w:hint="default"/>
        <w:lang w:val="es-ES" w:eastAsia="es-ES" w:bidi="es-ES"/>
      </w:rPr>
    </w:lvl>
    <w:lvl w:ilvl="5">
      <w:start w:val="0"/>
      <w:numFmt w:val="bullet"/>
      <w:lvlText w:val="•"/>
      <w:lvlJc w:val="left"/>
      <w:pPr>
        <w:ind w:left="3332" w:hanging="361"/>
      </w:pPr>
      <w:rPr>
        <w:rFonts w:hint="default"/>
        <w:lang w:val="es-ES" w:eastAsia="es-ES" w:bidi="es-ES"/>
      </w:rPr>
    </w:lvl>
    <w:lvl w:ilvl="6">
      <w:start w:val="0"/>
      <w:numFmt w:val="bullet"/>
      <w:lvlText w:val="•"/>
      <w:lvlJc w:val="left"/>
      <w:pPr>
        <w:ind w:left="3910" w:hanging="361"/>
      </w:pPr>
      <w:rPr>
        <w:rFonts w:hint="default"/>
        <w:lang w:val="es-ES" w:eastAsia="es-ES" w:bidi="es-ES"/>
      </w:rPr>
    </w:lvl>
    <w:lvl w:ilvl="7">
      <w:start w:val="0"/>
      <w:numFmt w:val="bullet"/>
      <w:lvlText w:val="•"/>
      <w:lvlJc w:val="left"/>
      <w:pPr>
        <w:ind w:left="4488" w:hanging="361"/>
      </w:pPr>
      <w:rPr>
        <w:rFonts w:hint="default"/>
        <w:lang w:val="es-ES" w:eastAsia="es-ES" w:bidi="es-ES"/>
      </w:rPr>
    </w:lvl>
    <w:lvl w:ilvl="8">
      <w:start w:val="0"/>
      <w:numFmt w:val="bullet"/>
      <w:lvlText w:val="•"/>
      <w:lvlJc w:val="left"/>
      <w:pPr>
        <w:ind w:left="5067" w:hanging="361"/>
      </w:pPr>
      <w:rPr>
        <w:rFonts w:hint="default"/>
        <w:lang w:val="es-ES" w:eastAsia="es-ES" w:bidi="es-ES"/>
      </w:rPr>
    </w:lvl>
  </w:abstractNum>
  <w:abstractNum w:abstractNumId="12">
    <w:multiLevelType w:val="hybridMultilevel"/>
    <w:lvl w:ilvl="0">
      <w:start w:val="1"/>
      <w:numFmt w:val="decimal"/>
      <w:lvlText w:val="%1."/>
      <w:lvlJc w:val="left"/>
      <w:pPr>
        <w:ind w:left="825" w:hanging="360"/>
        <w:jc w:val="left"/>
      </w:pPr>
      <w:rPr>
        <w:rFonts w:hint="default" w:ascii="Calibri" w:hAnsi="Calibri" w:eastAsia="Calibri" w:cs="Calibri"/>
        <w:spacing w:val="-2"/>
        <w:w w:val="100"/>
        <w:sz w:val="18"/>
        <w:szCs w:val="18"/>
        <w:lang w:val="es-ES" w:eastAsia="es-ES" w:bidi="es-ES"/>
      </w:rPr>
    </w:lvl>
    <w:lvl w:ilvl="1">
      <w:start w:val="0"/>
      <w:numFmt w:val="bullet"/>
      <w:lvlText w:val="•"/>
      <w:lvlJc w:val="left"/>
      <w:pPr>
        <w:ind w:left="1275" w:hanging="360"/>
      </w:pPr>
      <w:rPr>
        <w:rFonts w:hint="default"/>
        <w:lang w:val="es-ES" w:eastAsia="es-ES" w:bidi="es-ES"/>
      </w:rPr>
    </w:lvl>
    <w:lvl w:ilvl="2">
      <w:start w:val="0"/>
      <w:numFmt w:val="bullet"/>
      <w:lvlText w:val="•"/>
      <w:lvlJc w:val="left"/>
      <w:pPr>
        <w:ind w:left="1731" w:hanging="360"/>
      </w:pPr>
      <w:rPr>
        <w:rFonts w:hint="default"/>
        <w:lang w:val="es-ES" w:eastAsia="es-ES" w:bidi="es-ES"/>
      </w:rPr>
    </w:lvl>
    <w:lvl w:ilvl="3">
      <w:start w:val="0"/>
      <w:numFmt w:val="bullet"/>
      <w:lvlText w:val="•"/>
      <w:lvlJc w:val="left"/>
      <w:pPr>
        <w:ind w:left="2186" w:hanging="360"/>
      </w:pPr>
      <w:rPr>
        <w:rFonts w:hint="default"/>
        <w:lang w:val="es-ES" w:eastAsia="es-ES" w:bidi="es-ES"/>
      </w:rPr>
    </w:lvl>
    <w:lvl w:ilvl="4">
      <w:start w:val="0"/>
      <w:numFmt w:val="bullet"/>
      <w:lvlText w:val="•"/>
      <w:lvlJc w:val="left"/>
      <w:pPr>
        <w:ind w:left="2642" w:hanging="360"/>
      </w:pPr>
      <w:rPr>
        <w:rFonts w:hint="default"/>
        <w:lang w:val="es-ES" w:eastAsia="es-ES" w:bidi="es-ES"/>
      </w:rPr>
    </w:lvl>
    <w:lvl w:ilvl="5">
      <w:start w:val="0"/>
      <w:numFmt w:val="bullet"/>
      <w:lvlText w:val="•"/>
      <w:lvlJc w:val="left"/>
      <w:pPr>
        <w:ind w:left="3098" w:hanging="360"/>
      </w:pPr>
      <w:rPr>
        <w:rFonts w:hint="default"/>
        <w:lang w:val="es-ES" w:eastAsia="es-ES" w:bidi="es-ES"/>
      </w:rPr>
    </w:lvl>
    <w:lvl w:ilvl="6">
      <w:start w:val="0"/>
      <w:numFmt w:val="bullet"/>
      <w:lvlText w:val="•"/>
      <w:lvlJc w:val="left"/>
      <w:pPr>
        <w:ind w:left="3553" w:hanging="360"/>
      </w:pPr>
      <w:rPr>
        <w:rFonts w:hint="default"/>
        <w:lang w:val="es-ES" w:eastAsia="es-ES" w:bidi="es-ES"/>
      </w:rPr>
    </w:lvl>
    <w:lvl w:ilvl="7">
      <w:start w:val="0"/>
      <w:numFmt w:val="bullet"/>
      <w:lvlText w:val="•"/>
      <w:lvlJc w:val="left"/>
      <w:pPr>
        <w:ind w:left="4009" w:hanging="360"/>
      </w:pPr>
      <w:rPr>
        <w:rFonts w:hint="default"/>
        <w:lang w:val="es-ES" w:eastAsia="es-ES" w:bidi="es-ES"/>
      </w:rPr>
    </w:lvl>
    <w:lvl w:ilvl="8">
      <w:start w:val="0"/>
      <w:numFmt w:val="bullet"/>
      <w:lvlText w:val="•"/>
      <w:lvlJc w:val="left"/>
      <w:pPr>
        <w:ind w:left="4464" w:hanging="360"/>
      </w:pPr>
      <w:rPr>
        <w:rFonts w:hint="default"/>
        <w:lang w:val="es-ES" w:eastAsia="es-ES" w:bidi="es-ES"/>
      </w:rPr>
    </w:lvl>
  </w:abstractNum>
  <w:abstractNum w:abstractNumId="11">
    <w:multiLevelType w:val="hybridMultilevel"/>
    <w:lvl w:ilvl="0">
      <w:start w:val="1"/>
      <w:numFmt w:val="decimal"/>
      <w:lvlText w:val="%1."/>
      <w:lvlJc w:val="left"/>
      <w:pPr>
        <w:ind w:left="825" w:hanging="360"/>
        <w:jc w:val="left"/>
      </w:pPr>
      <w:rPr>
        <w:rFonts w:hint="default" w:ascii="Calibri" w:hAnsi="Calibri" w:eastAsia="Calibri" w:cs="Calibri"/>
        <w:spacing w:val="-2"/>
        <w:w w:val="100"/>
        <w:sz w:val="18"/>
        <w:szCs w:val="18"/>
        <w:lang w:val="es-ES" w:eastAsia="es-ES" w:bidi="es-ES"/>
      </w:rPr>
    </w:lvl>
    <w:lvl w:ilvl="1">
      <w:start w:val="0"/>
      <w:numFmt w:val="bullet"/>
      <w:lvlText w:val="•"/>
      <w:lvlJc w:val="left"/>
      <w:pPr>
        <w:ind w:left="1147" w:hanging="360"/>
      </w:pPr>
      <w:rPr>
        <w:rFonts w:hint="default"/>
        <w:lang w:val="es-ES" w:eastAsia="es-ES" w:bidi="es-ES"/>
      </w:rPr>
    </w:lvl>
    <w:lvl w:ilvl="2">
      <w:start w:val="0"/>
      <w:numFmt w:val="bullet"/>
      <w:lvlText w:val="•"/>
      <w:lvlJc w:val="left"/>
      <w:pPr>
        <w:ind w:left="1475" w:hanging="360"/>
      </w:pPr>
      <w:rPr>
        <w:rFonts w:hint="default"/>
        <w:lang w:val="es-ES" w:eastAsia="es-ES" w:bidi="es-ES"/>
      </w:rPr>
    </w:lvl>
    <w:lvl w:ilvl="3">
      <w:start w:val="0"/>
      <w:numFmt w:val="bullet"/>
      <w:lvlText w:val="•"/>
      <w:lvlJc w:val="left"/>
      <w:pPr>
        <w:ind w:left="1803" w:hanging="360"/>
      </w:pPr>
      <w:rPr>
        <w:rFonts w:hint="default"/>
        <w:lang w:val="es-ES" w:eastAsia="es-ES" w:bidi="es-ES"/>
      </w:rPr>
    </w:lvl>
    <w:lvl w:ilvl="4">
      <w:start w:val="0"/>
      <w:numFmt w:val="bullet"/>
      <w:lvlText w:val="•"/>
      <w:lvlJc w:val="left"/>
      <w:pPr>
        <w:ind w:left="2130" w:hanging="360"/>
      </w:pPr>
      <w:rPr>
        <w:rFonts w:hint="default"/>
        <w:lang w:val="es-ES" w:eastAsia="es-ES" w:bidi="es-ES"/>
      </w:rPr>
    </w:lvl>
    <w:lvl w:ilvl="5">
      <w:start w:val="0"/>
      <w:numFmt w:val="bullet"/>
      <w:lvlText w:val="•"/>
      <w:lvlJc w:val="left"/>
      <w:pPr>
        <w:ind w:left="2458" w:hanging="360"/>
      </w:pPr>
      <w:rPr>
        <w:rFonts w:hint="default"/>
        <w:lang w:val="es-ES" w:eastAsia="es-ES" w:bidi="es-ES"/>
      </w:rPr>
    </w:lvl>
    <w:lvl w:ilvl="6">
      <w:start w:val="0"/>
      <w:numFmt w:val="bullet"/>
      <w:lvlText w:val="•"/>
      <w:lvlJc w:val="left"/>
      <w:pPr>
        <w:ind w:left="2786" w:hanging="360"/>
      </w:pPr>
      <w:rPr>
        <w:rFonts w:hint="default"/>
        <w:lang w:val="es-ES" w:eastAsia="es-ES" w:bidi="es-ES"/>
      </w:rPr>
    </w:lvl>
    <w:lvl w:ilvl="7">
      <w:start w:val="0"/>
      <w:numFmt w:val="bullet"/>
      <w:lvlText w:val="•"/>
      <w:lvlJc w:val="left"/>
      <w:pPr>
        <w:ind w:left="3113" w:hanging="360"/>
      </w:pPr>
      <w:rPr>
        <w:rFonts w:hint="default"/>
        <w:lang w:val="es-ES" w:eastAsia="es-ES" w:bidi="es-ES"/>
      </w:rPr>
    </w:lvl>
    <w:lvl w:ilvl="8">
      <w:start w:val="0"/>
      <w:numFmt w:val="bullet"/>
      <w:lvlText w:val="•"/>
      <w:lvlJc w:val="left"/>
      <w:pPr>
        <w:ind w:left="3441" w:hanging="360"/>
      </w:pPr>
      <w:rPr>
        <w:rFonts w:hint="default"/>
        <w:lang w:val="es-ES" w:eastAsia="es-ES" w:bidi="es-ES"/>
      </w:rPr>
    </w:lvl>
  </w:abstractNum>
  <w:abstractNum w:abstractNumId="10">
    <w:multiLevelType w:val="hybridMultilevel"/>
    <w:lvl w:ilvl="0">
      <w:start w:val="3"/>
      <w:numFmt w:val="decimal"/>
      <w:lvlText w:val="%1."/>
      <w:lvlJc w:val="left"/>
      <w:pPr>
        <w:ind w:left="1442" w:hanging="360"/>
        <w:jc w:val="left"/>
      </w:pPr>
      <w:rPr>
        <w:rFonts w:hint="default" w:ascii="Arial" w:hAnsi="Arial" w:eastAsia="Arial" w:cs="Arial"/>
        <w:b/>
        <w:bCs/>
        <w:w w:val="99"/>
        <w:sz w:val="24"/>
        <w:szCs w:val="24"/>
        <w:lang w:val="es-ES" w:eastAsia="es-ES" w:bidi="es-ES"/>
      </w:rPr>
    </w:lvl>
    <w:lvl w:ilvl="1">
      <w:start w:val="1"/>
      <w:numFmt w:val="decimal"/>
      <w:lvlText w:val="%1.%2."/>
      <w:lvlJc w:val="left"/>
      <w:pPr>
        <w:ind w:left="2085" w:hanging="720"/>
        <w:jc w:val="left"/>
      </w:pPr>
      <w:rPr>
        <w:rFonts w:hint="default"/>
        <w:b/>
        <w:bCs/>
        <w:spacing w:val="-1"/>
        <w:w w:val="99"/>
        <w:lang w:val="es-ES" w:eastAsia="es-ES" w:bidi="es-ES"/>
      </w:rPr>
    </w:lvl>
    <w:lvl w:ilvl="2">
      <w:start w:val="0"/>
      <w:numFmt w:val="bullet"/>
      <w:lvlText w:val="•"/>
      <w:lvlJc w:val="left"/>
      <w:pPr>
        <w:ind w:left="3071" w:hanging="720"/>
      </w:pPr>
      <w:rPr>
        <w:rFonts w:hint="default"/>
        <w:lang w:val="es-ES" w:eastAsia="es-ES" w:bidi="es-ES"/>
      </w:rPr>
    </w:lvl>
    <w:lvl w:ilvl="3">
      <w:start w:val="0"/>
      <w:numFmt w:val="bullet"/>
      <w:lvlText w:val="•"/>
      <w:lvlJc w:val="left"/>
      <w:pPr>
        <w:ind w:left="4063" w:hanging="720"/>
      </w:pPr>
      <w:rPr>
        <w:rFonts w:hint="default"/>
        <w:lang w:val="es-ES" w:eastAsia="es-ES" w:bidi="es-ES"/>
      </w:rPr>
    </w:lvl>
    <w:lvl w:ilvl="4">
      <w:start w:val="0"/>
      <w:numFmt w:val="bullet"/>
      <w:lvlText w:val="•"/>
      <w:lvlJc w:val="left"/>
      <w:pPr>
        <w:ind w:left="5055" w:hanging="720"/>
      </w:pPr>
      <w:rPr>
        <w:rFonts w:hint="default"/>
        <w:lang w:val="es-ES" w:eastAsia="es-ES" w:bidi="es-ES"/>
      </w:rPr>
    </w:lvl>
    <w:lvl w:ilvl="5">
      <w:start w:val="0"/>
      <w:numFmt w:val="bullet"/>
      <w:lvlText w:val="•"/>
      <w:lvlJc w:val="left"/>
      <w:pPr>
        <w:ind w:left="6047" w:hanging="720"/>
      </w:pPr>
      <w:rPr>
        <w:rFonts w:hint="default"/>
        <w:lang w:val="es-ES" w:eastAsia="es-ES" w:bidi="es-ES"/>
      </w:rPr>
    </w:lvl>
    <w:lvl w:ilvl="6">
      <w:start w:val="0"/>
      <w:numFmt w:val="bullet"/>
      <w:lvlText w:val="•"/>
      <w:lvlJc w:val="left"/>
      <w:pPr>
        <w:ind w:left="7039" w:hanging="720"/>
      </w:pPr>
      <w:rPr>
        <w:rFonts w:hint="default"/>
        <w:lang w:val="es-ES" w:eastAsia="es-ES" w:bidi="es-ES"/>
      </w:rPr>
    </w:lvl>
    <w:lvl w:ilvl="7">
      <w:start w:val="0"/>
      <w:numFmt w:val="bullet"/>
      <w:lvlText w:val="•"/>
      <w:lvlJc w:val="left"/>
      <w:pPr>
        <w:ind w:left="8030" w:hanging="720"/>
      </w:pPr>
      <w:rPr>
        <w:rFonts w:hint="default"/>
        <w:lang w:val="es-ES" w:eastAsia="es-ES" w:bidi="es-ES"/>
      </w:rPr>
    </w:lvl>
    <w:lvl w:ilvl="8">
      <w:start w:val="0"/>
      <w:numFmt w:val="bullet"/>
      <w:lvlText w:val="•"/>
      <w:lvlJc w:val="left"/>
      <w:pPr>
        <w:ind w:left="9022" w:hanging="720"/>
      </w:pPr>
      <w:rPr>
        <w:rFonts w:hint="default"/>
        <w:lang w:val="es-ES" w:eastAsia="es-ES" w:bidi="es-ES"/>
      </w:rPr>
    </w:lvl>
  </w:abstractNum>
  <w:abstractNum w:abstractNumId="9">
    <w:multiLevelType w:val="hybridMultilevel"/>
    <w:lvl w:ilvl="0">
      <w:start w:val="1"/>
      <w:numFmt w:val="lowerLetter"/>
      <w:lvlText w:val="%1)"/>
      <w:lvlJc w:val="left"/>
      <w:pPr>
        <w:ind w:left="1362" w:hanging="281"/>
        <w:jc w:val="left"/>
      </w:pPr>
      <w:rPr>
        <w:rFonts w:hint="default" w:ascii="Arial" w:hAnsi="Arial" w:eastAsia="Arial" w:cs="Arial"/>
        <w:spacing w:val="-3"/>
        <w:w w:val="99"/>
        <w:sz w:val="24"/>
        <w:szCs w:val="24"/>
        <w:lang w:val="es-ES" w:eastAsia="es-ES" w:bidi="es-ES"/>
      </w:rPr>
    </w:lvl>
    <w:lvl w:ilvl="1">
      <w:start w:val="0"/>
      <w:numFmt w:val="bullet"/>
      <w:lvlText w:val="•"/>
      <w:lvlJc w:val="left"/>
      <w:pPr>
        <w:ind w:left="2324" w:hanging="281"/>
      </w:pPr>
      <w:rPr>
        <w:rFonts w:hint="default"/>
        <w:lang w:val="es-ES" w:eastAsia="es-ES" w:bidi="es-ES"/>
      </w:rPr>
    </w:lvl>
    <w:lvl w:ilvl="2">
      <w:start w:val="0"/>
      <w:numFmt w:val="bullet"/>
      <w:lvlText w:val="•"/>
      <w:lvlJc w:val="left"/>
      <w:pPr>
        <w:ind w:left="3289" w:hanging="281"/>
      </w:pPr>
      <w:rPr>
        <w:rFonts w:hint="default"/>
        <w:lang w:val="es-ES" w:eastAsia="es-ES" w:bidi="es-ES"/>
      </w:rPr>
    </w:lvl>
    <w:lvl w:ilvl="3">
      <w:start w:val="0"/>
      <w:numFmt w:val="bullet"/>
      <w:lvlText w:val="•"/>
      <w:lvlJc w:val="left"/>
      <w:pPr>
        <w:ind w:left="4253" w:hanging="281"/>
      </w:pPr>
      <w:rPr>
        <w:rFonts w:hint="default"/>
        <w:lang w:val="es-ES" w:eastAsia="es-ES" w:bidi="es-ES"/>
      </w:rPr>
    </w:lvl>
    <w:lvl w:ilvl="4">
      <w:start w:val="0"/>
      <w:numFmt w:val="bullet"/>
      <w:lvlText w:val="•"/>
      <w:lvlJc w:val="left"/>
      <w:pPr>
        <w:ind w:left="5218" w:hanging="281"/>
      </w:pPr>
      <w:rPr>
        <w:rFonts w:hint="default"/>
        <w:lang w:val="es-ES" w:eastAsia="es-ES" w:bidi="es-ES"/>
      </w:rPr>
    </w:lvl>
    <w:lvl w:ilvl="5">
      <w:start w:val="0"/>
      <w:numFmt w:val="bullet"/>
      <w:lvlText w:val="•"/>
      <w:lvlJc w:val="left"/>
      <w:pPr>
        <w:ind w:left="6183" w:hanging="281"/>
      </w:pPr>
      <w:rPr>
        <w:rFonts w:hint="default"/>
        <w:lang w:val="es-ES" w:eastAsia="es-ES" w:bidi="es-ES"/>
      </w:rPr>
    </w:lvl>
    <w:lvl w:ilvl="6">
      <w:start w:val="0"/>
      <w:numFmt w:val="bullet"/>
      <w:lvlText w:val="•"/>
      <w:lvlJc w:val="left"/>
      <w:pPr>
        <w:ind w:left="7147" w:hanging="281"/>
      </w:pPr>
      <w:rPr>
        <w:rFonts w:hint="default"/>
        <w:lang w:val="es-ES" w:eastAsia="es-ES" w:bidi="es-ES"/>
      </w:rPr>
    </w:lvl>
    <w:lvl w:ilvl="7">
      <w:start w:val="0"/>
      <w:numFmt w:val="bullet"/>
      <w:lvlText w:val="•"/>
      <w:lvlJc w:val="left"/>
      <w:pPr>
        <w:ind w:left="8112" w:hanging="281"/>
      </w:pPr>
      <w:rPr>
        <w:rFonts w:hint="default"/>
        <w:lang w:val="es-ES" w:eastAsia="es-ES" w:bidi="es-ES"/>
      </w:rPr>
    </w:lvl>
    <w:lvl w:ilvl="8">
      <w:start w:val="0"/>
      <w:numFmt w:val="bullet"/>
      <w:lvlText w:val="•"/>
      <w:lvlJc w:val="left"/>
      <w:pPr>
        <w:ind w:left="9077" w:hanging="281"/>
      </w:pPr>
      <w:rPr>
        <w:rFonts w:hint="default"/>
        <w:lang w:val="es-ES" w:eastAsia="es-ES" w:bidi="es-ES"/>
      </w:rPr>
    </w:lvl>
  </w:abstractNum>
  <w:abstractNum w:abstractNumId="8">
    <w:multiLevelType w:val="hybridMultilevel"/>
    <w:lvl w:ilvl="0">
      <w:start w:val="1"/>
      <w:numFmt w:val="lowerLetter"/>
      <w:lvlText w:val="%1)"/>
      <w:lvlJc w:val="left"/>
      <w:pPr>
        <w:ind w:left="1362" w:hanging="281"/>
        <w:jc w:val="left"/>
      </w:pPr>
      <w:rPr>
        <w:rFonts w:hint="default" w:ascii="Arial" w:hAnsi="Arial" w:eastAsia="Arial" w:cs="Arial"/>
        <w:spacing w:val="-3"/>
        <w:w w:val="99"/>
        <w:sz w:val="24"/>
        <w:szCs w:val="24"/>
        <w:lang w:val="es-ES" w:eastAsia="es-ES" w:bidi="es-ES"/>
      </w:rPr>
    </w:lvl>
    <w:lvl w:ilvl="1">
      <w:start w:val="0"/>
      <w:numFmt w:val="bullet"/>
      <w:lvlText w:val="•"/>
      <w:lvlJc w:val="left"/>
      <w:pPr>
        <w:ind w:left="2324" w:hanging="281"/>
      </w:pPr>
      <w:rPr>
        <w:rFonts w:hint="default"/>
        <w:lang w:val="es-ES" w:eastAsia="es-ES" w:bidi="es-ES"/>
      </w:rPr>
    </w:lvl>
    <w:lvl w:ilvl="2">
      <w:start w:val="0"/>
      <w:numFmt w:val="bullet"/>
      <w:lvlText w:val="•"/>
      <w:lvlJc w:val="left"/>
      <w:pPr>
        <w:ind w:left="3289" w:hanging="281"/>
      </w:pPr>
      <w:rPr>
        <w:rFonts w:hint="default"/>
        <w:lang w:val="es-ES" w:eastAsia="es-ES" w:bidi="es-ES"/>
      </w:rPr>
    </w:lvl>
    <w:lvl w:ilvl="3">
      <w:start w:val="0"/>
      <w:numFmt w:val="bullet"/>
      <w:lvlText w:val="•"/>
      <w:lvlJc w:val="left"/>
      <w:pPr>
        <w:ind w:left="4253" w:hanging="281"/>
      </w:pPr>
      <w:rPr>
        <w:rFonts w:hint="default"/>
        <w:lang w:val="es-ES" w:eastAsia="es-ES" w:bidi="es-ES"/>
      </w:rPr>
    </w:lvl>
    <w:lvl w:ilvl="4">
      <w:start w:val="0"/>
      <w:numFmt w:val="bullet"/>
      <w:lvlText w:val="•"/>
      <w:lvlJc w:val="left"/>
      <w:pPr>
        <w:ind w:left="5218" w:hanging="281"/>
      </w:pPr>
      <w:rPr>
        <w:rFonts w:hint="default"/>
        <w:lang w:val="es-ES" w:eastAsia="es-ES" w:bidi="es-ES"/>
      </w:rPr>
    </w:lvl>
    <w:lvl w:ilvl="5">
      <w:start w:val="0"/>
      <w:numFmt w:val="bullet"/>
      <w:lvlText w:val="•"/>
      <w:lvlJc w:val="left"/>
      <w:pPr>
        <w:ind w:left="6183" w:hanging="281"/>
      </w:pPr>
      <w:rPr>
        <w:rFonts w:hint="default"/>
        <w:lang w:val="es-ES" w:eastAsia="es-ES" w:bidi="es-ES"/>
      </w:rPr>
    </w:lvl>
    <w:lvl w:ilvl="6">
      <w:start w:val="0"/>
      <w:numFmt w:val="bullet"/>
      <w:lvlText w:val="•"/>
      <w:lvlJc w:val="left"/>
      <w:pPr>
        <w:ind w:left="7147" w:hanging="281"/>
      </w:pPr>
      <w:rPr>
        <w:rFonts w:hint="default"/>
        <w:lang w:val="es-ES" w:eastAsia="es-ES" w:bidi="es-ES"/>
      </w:rPr>
    </w:lvl>
    <w:lvl w:ilvl="7">
      <w:start w:val="0"/>
      <w:numFmt w:val="bullet"/>
      <w:lvlText w:val="•"/>
      <w:lvlJc w:val="left"/>
      <w:pPr>
        <w:ind w:left="8112" w:hanging="281"/>
      </w:pPr>
      <w:rPr>
        <w:rFonts w:hint="default"/>
        <w:lang w:val="es-ES" w:eastAsia="es-ES" w:bidi="es-ES"/>
      </w:rPr>
    </w:lvl>
    <w:lvl w:ilvl="8">
      <w:start w:val="0"/>
      <w:numFmt w:val="bullet"/>
      <w:lvlText w:val="•"/>
      <w:lvlJc w:val="left"/>
      <w:pPr>
        <w:ind w:left="9077" w:hanging="281"/>
      </w:pPr>
      <w:rPr>
        <w:rFonts w:hint="default"/>
        <w:lang w:val="es-ES" w:eastAsia="es-ES" w:bidi="es-ES"/>
      </w:rPr>
    </w:lvl>
  </w:abstractNum>
  <w:abstractNum w:abstractNumId="7">
    <w:multiLevelType w:val="hybridMultilevel"/>
    <w:lvl w:ilvl="0">
      <w:start w:val="1"/>
      <w:numFmt w:val="upperRoman"/>
      <w:lvlText w:val="%1."/>
      <w:lvlJc w:val="left"/>
      <w:pPr>
        <w:ind w:left="1082" w:hanging="221"/>
        <w:jc w:val="left"/>
      </w:pPr>
      <w:rPr>
        <w:rFonts w:hint="default" w:ascii="Arial" w:hAnsi="Arial" w:eastAsia="Arial" w:cs="Arial"/>
        <w:w w:val="100"/>
        <w:sz w:val="24"/>
        <w:szCs w:val="24"/>
        <w:lang w:val="es-ES" w:eastAsia="es-ES" w:bidi="es-ES"/>
      </w:rPr>
    </w:lvl>
    <w:lvl w:ilvl="1">
      <w:start w:val="0"/>
      <w:numFmt w:val="bullet"/>
      <w:lvlText w:val="•"/>
      <w:lvlJc w:val="left"/>
      <w:pPr>
        <w:ind w:left="2072" w:hanging="221"/>
      </w:pPr>
      <w:rPr>
        <w:rFonts w:hint="default"/>
        <w:lang w:val="es-ES" w:eastAsia="es-ES" w:bidi="es-ES"/>
      </w:rPr>
    </w:lvl>
    <w:lvl w:ilvl="2">
      <w:start w:val="0"/>
      <w:numFmt w:val="bullet"/>
      <w:lvlText w:val="•"/>
      <w:lvlJc w:val="left"/>
      <w:pPr>
        <w:ind w:left="3065" w:hanging="221"/>
      </w:pPr>
      <w:rPr>
        <w:rFonts w:hint="default"/>
        <w:lang w:val="es-ES" w:eastAsia="es-ES" w:bidi="es-ES"/>
      </w:rPr>
    </w:lvl>
    <w:lvl w:ilvl="3">
      <w:start w:val="0"/>
      <w:numFmt w:val="bullet"/>
      <w:lvlText w:val="•"/>
      <w:lvlJc w:val="left"/>
      <w:pPr>
        <w:ind w:left="4057" w:hanging="221"/>
      </w:pPr>
      <w:rPr>
        <w:rFonts w:hint="default"/>
        <w:lang w:val="es-ES" w:eastAsia="es-ES" w:bidi="es-ES"/>
      </w:rPr>
    </w:lvl>
    <w:lvl w:ilvl="4">
      <w:start w:val="0"/>
      <w:numFmt w:val="bullet"/>
      <w:lvlText w:val="•"/>
      <w:lvlJc w:val="left"/>
      <w:pPr>
        <w:ind w:left="5050" w:hanging="221"/>
      </w:pPr>
      <w:rPr>
        <w:rFonts w:hint="default"/>
        <w:lang w:val="es-ES" w:eastAsia="es-ES" w:bidi="es-ES"/>
      </w:rPr>
    </w:lvl>
    <w:lvl w:ilvl="5">
      <w:start w:val="0"/>
      <w:numFmt w:val="bullet"/>
      <w:lvlText w:val="•"/>
      <w:lvlJc w:val="left"/>
      <w:pPr>
        <w:ind w:left="6043" w:hanging="221"/>
      </w:pPr>
      <w:rPr>
        <w:rFonts w:hint="default"/>
        <w:lang w:val="es-ES" w:eastAsia="es-ES" w:bidi="es-ES"/>
      </w:rPr>
    </w:lvl>
    <w:lvl w:ilvl="6">
      <w:start w:val="0"/>
      <w:numFmt w:val="bullet"/>
      <w:lvlText w:val="•"/>
      <w:lvlJc w:val="left"/>
      <w:pPr>
        <w:ind w:left="7035" w:hanging="221"/>
      </w:pPr>
      <w:rPr>
        <w:rFonts w:hint="default"/>
        <w:lang w:val="es-ES" w:eastAsia="es-ES" w:bidi="es-ES"/>
      </w:rPr>
    </w:lvl>
    <w:lvl w:ilvl="7">
      <w:start w:val="0"/>
      <w:numFmt w:val="bullet"/>
      <w:lvlText w:val="•"/>
      <w:lvlJc w:val="left"/>
      <w:pPr>
        <w:ind w:left="8028" w:hanging="221"/>
      </w:pPr>
      <w:rPr>
        <w:rFonts w:hint="default"/>
        <w:lang w:val="es-ES" w:eastAsia="es-ES" w:bidi="es-ES"/>
      </w:rPr>
    </w:lvl>
    <w:lvl w:ilvl="8">
      <w:start w:val="0"/>
      <w:numFmt w:val="bullet"/>
      <w:lvlText w:val="•"/>
      <w:lvlJc w:val="left"/>
      <w:pPr>
        <w:ind w:left="9021" w:hanging="221"/>
      </w:pPr>
      <w:rPr>
        <w:rFonts w:hint="default"/>
        <w:lang w:val="es-ES" w:eastAsia="es-ES" w:bidi="es-ES"/>
      </w:rPr>
    </w:lvl>
  </w:abstractNum>
  <w:abstractNum w:abstractNumId="6">
    <w:multiLevelType w:val="hybridMultilevel"/>
    <w:lvl w:ilvl="0">
      <w:start w:val="1"/>
      <w:numFmt w:val="lowerLetter"/>
      <w:lvlText w:val="%1)"/>
      <w:lvlJc w:val="left"/>
      <w:pPr>
        <w:ind w:left="1362" w:hanging="281"/>
        <w:jc w:val="left"/>
      </w:pPr>
      <w:rPr>
        <w:rFonts w:hint="default" w:ascii="Arial" w:hAnsi="Arial" w:eastAsia="Arial" w:cs="Arial"/>
        <w:spacing w:val="-4"/>
        <w:w w:val="99"/>
        <w:sz w:val="24"/>
        <w:szCs w:val="24"/>
        <w:lang w:val="es-ES" w:eastAsia="es-ES" w:bidi="es-ES"/>
      </w:rPr>
    </w:lvl>
    <w:lvl w:ilvl="1">
      <w:start w:val="0"/>
      <w:numFmt w:val="bullet"/>
      <w:lvlText w:val="•"/>
      <w:lvlJc w:val="left"/>
      <w:pPr>
        <w:ind w:left="2324" w:hanging="281"/>
      </w:pPr>
      <w:rPr>
        <w:rFonts w:hint="default"/>
        <w:lang w:val="es-ES" w:eastAsia="es-ES" w:bidi="es-ES"/>
      </w:rPr>
    </w:lvl>
    <w:lvl w:ilvl="2">
      <w:start w:val="0"/>
      <w:numFmt w:val="bullet"/>
      <w:lvlText w:val="•"/>
      <w:lvlJc w:val="left"/>
      <w:pPr>
        <w:ind w:left="3289" w:hanging="281"/>
      </w:pPr>
      <w:rPr>
        <w:rFonts w:hint="default"/>
        <w:lang w:val="es-ES" w:eastAsia="es-ES" w:bidi="es-ES"/>
      </w:rPr>
    </w:lvl>
    <w:lvl w:ilvl="3">
      <w:start w:val="0"/>
      <w:numFmt w:val="bullet"/>
      <w:lvlText w:val="•"/>
      <w:lvlJc w:val="left"/>
      <w:pPr>
        <w:ind w:left="4253" w:hanging="281"/>
      </w:pPr>
      <w:rPr>
        <w:rFonts w:hint="default"/>
        <w:lang w:val="es-ES" w:eastAsia="es-ES" w:bidi="es-ES"/>
      </w:rPr>
    </w:lvl>
    <w:lvl w:ilvl="4">
      <w:start w:val="0"/>
      <w:numFmt w:val="bullet"/>
      <w:lvlText w:val="•"/>
      <w:lvlJc w:val="left"/>
      <w:pPr>
        <w:ind w:left="5218" w:hanging="281"/>
      </w:pPr>
      <w:rPr>
        <w:rFonts w:hint="default"/>
        <w:lang w:val="es-ES" w:eastAsia="es-ES" w:bidi="es-ES"/>
      </w:rPr>
    </w:lvl>
    <w:lvl w:ilvl="5">
      <w:start w:val="0"/>
      <w:numFmt w:val="bullet"/>
      <w:lvlText w:val="•"/>
      <w:lvlJc w:val="left"/>
      <w:pPr>
        <w:ind w:left="6183" w:hanging="281"/>
      </w:pPr>
      <w:rPr>
        <w:rFonts w:hint="default"/>
        <w:lang w:val="es-ES" w:eastAsia="es-ES" w:bidi="es-ES"/>
      </w:rPr>
    </w:lvl>
    <w:lvl w:ilvl="6">
      <w:start w:val="0"/>
      <w:numFmt w:val="bullet"/>
      <w:lvlText w:val="•"/>
      <w:lvlJc w:val="left"/>
      <w:pPr>
        <w:ind w:left="7147" w:hanging="281"/>
      </w:pPr>
      <w:rPr>
        <w:rFonts w:hint="default"/>
        <w:lang w:val="es-ES" w:eastAsia="es-ES" w:bidi="es-ES"/>
      </w:rPr>
    </w:lvl>
    <w:lvl w:ilvl="7">
      <w:start w:val="0"/>
      <w:numFmt w:val="bullet"/>
      <w:lvlText w:val="•"/>
      <w:lvlJc w:val="left"/>
      <w:pPr>
        <w:ind w:left="8112" w:hanging="281"/>
      </w:pPr>
      <w:rPr>
        <w:rFonts w:hint="default"/>
        <w:lang w:val="es-ES" w:eastAsia="es-ES" w:bidi="es-ES"/>
      </w:rPr>
    </w:lvl>
    <w:lvl w:ilvl="8">
      <w:start w:val="0"/>
      <w:numFmt w:val="bullet"/>
      <w:lvlText w:val="•"/>
      <w:lvlJc w:val="left"/>
      <w:pPr>
        <w:ind w:left="9077" w:hanging="281"/>
      </w:pPr>
      <w:rPr>
        <w:rFonts w:hint="default"/>
        <w:lang w:val="es-ES" w:eastAsia="es-ES" w:bidi="es-ES"/>
      </w:rPr>
    </w:lvl>
  </w:abstractNum>
  <w:abstractNum w:abstractNumId="5">
    <w:multiLevelType w:val="hybridMultilevel"/>
    <w:lvl w:ilvl="0">
      <w:start w:val="1"/>
      <w:numFmt w:val="upperRoman"/>
      <w:lvlText w:val="%1."/>
      <w:lvlJc w:val="left"/>
      <w:pPr>
        <w:ind w:left="1082" w:hanging="252"/>
        <w:jc w:val="left"/>
      </w:pPr>
      <w:rPr>
        <w:rFonts w:hint="default" w:ascii="Arial" w:hAnsi="Arial" w:eastAsia="Arial" w:cs="Arial"/>
        <w:w w:val="100"/>
        <w:sz w:val="24"/>
        <w:szCs w:val="24"/>
        <w:lang w:val="es-ES" w:eastAsia="es-ES" w:bidi="es-ES"/>
      </w:rPr>
    </w:lvl>
    <w:lvl w:ilvl="1">
      <w:start w:val="0"/>
      <w:numFmt w:val="bullet"/>
      <w:lvlText w:val="•"/>
      <w:lvlJc w:val="left"/>
      <w:pPr>
        <w:ind w:left="2072" w:hanging="252"/>
      </w:pPr>
      <w:rPr>
        <w:rFonts w:hint="default"/>
        <w:lang w:val="es-ES" w:eastAsia="es-ES" w:bidi="es-ES"/>
      </w:rPr>
    </w:lvl>
    <w:lvl w:ilvl="2">
      <w:start w:val="0"/>
      <w:numFmt w:val="bullet"/>
      <w:lvlText w:val="•"/>
      <w:lvlJc w:val="left"/>
      <w:pPr>
        <w:ind w:left="3065" w:hanging="252"/>
      </w:pPr>
      <w:rPr>
        <w:rFonts w:hint="default"/>
        <w:lang w:val="es-ES" w:eastAsia="es-ES" w:bidi="es-ES"/>
      </w:rPr>
    </w:lvl>
    <w:lvl w:ilvl="3">
      <w:start w:val="0"/>
      <w:numFmt w:val="bullet"/>
      <w:lvlText w:val="•"/>
      <w:lvlJc w:val="left"/>
      <w:pPr>
        <w:ind w:left="4057" w:hanging="252"/>
      </w:pPr>
      <w:rPr>
        <w:rFonts w:hint="default"/>
        <w:lang w:val="es-ES" w:eastAsia="es-ES" w:bidi="es-ES"/>
      </w:rPr>
    </w:lvl>
    <w:lvl w:ilvl="4">
      <w:start w:val="0"/>
      <w:numFmt w:val="bullet"/>
      <w:lvlText w:val="•"/>
      <w:lvlJc w:val="left"/>
      <w:pPr>
        <w:ind w:left="5050" w:hanging="252"/>
      </w:pPr>
      <w:rPr>
        <w:rFonts w:hint="default"/>
        <w:lang w:val="es-ES" w:eastAsia="es-ES" w:bidi="es-ES"/>
      </w:rPr>
    </w:lvl>
    <w:lvl w:ilvl="5">
      <w:start w:val="0"/>
      <w:numFmt w:val="bullet"/>
      <w:lvlText w:val="•"/>
      <w:lvlJc w:val="left"/>
      <w:pPr>
        <w:ind w:left="6043" w:hanging="252"/>
      </w:pPr>
      <w:rPr>
        <w:rFonts w:hint="default"/>
        <w:lang w:val="es-ES" w:eastAsia="es-ES" w:bidi="es-ES"/>
      </w:rPr>
    </w:lvl>
    <w:lvl w:ilvl="6">
      <w:start w:val="0"/>
      <w:numFmt w:val="bullet"/>
      <w:lvlText w:val="•"/>
      <w:lvlJc w:val="left"/>
      <w:pPr>
        <w:ind w:left="7035" w:hanging="252"/>
      </w:pPr>
      <w:rPr>
        <w:rFonts w:hint="default"/>
        <w:lang w:val="es-ES" w:eastAsia="es-ES" w:bidi="es-ES"/>
      </w:rPr>
    </w:lvl>
    <w:lvl w:ilvl="7">
      <w:start w:val="0"/>
      <w:numFmt w:val="bullet"/>
      <w:lvlText w:val="•"/>
      <w:lvlJc w:val="left"/>
      <w:pPr>
        <w:ind w:left="8028" w:hanging="252"/>
      </w:pPr>
      <w:rPr>
        <w:rFonts w:hint="default"/>
        <w:lang w:val="es-ES" w:eastAsia="es-ES" w:bidi="es-ES"/>
      </w:rPr>
    </w:lvl>
    <w:lvl w:ilvl="8">
      <w:start w:val="0"/>
      <w:numFmt w:val="bullet"/>
      <w:lvlText w:val="•"/>
      <w:lvlJc w:val="left"/>
      <w:pPr>
        <w:ind w:left="9021" w:hanging="252"/>
      </w:pPr>
      <w:rPr>
        <w:rFonts w:hint="default"/>
        <w:lang w:val="es-ES" w:eastAsia="es-ES" w:bidi="es-ES"/>
      </w:rPr>
    </w:lvl>
  </w:abstractNum>
  <w:abstractNum w:abstractNumId="4">
    <w:multiLevelType w:val="hybridMultilevel"/>
    <w:lvl w:ilvl="0">
      <w:start w:val="1"/>
      <w:numFmt w:val="lowerLetter"/>
      <w:lvlText w:val="%1)"/>
      <w:lvlJc w:val="left"/>
      <w:pPr>
        <w:ind w:left="1082" w:hanging="324"/>
        <w:jc w:val="left"/>
      </w:pPr>
      <w:rPr>
        <w:rFonts w:hint="default" w:ascii="Arial" w:hAnsi="Arial" w:eastAsia="Arial" w:cs="Arial"/>
        <w:spacing w:val="-26"/>
        <w:w w:val="99"/>
        <w:sz w:val="24"/>
        <w:szCs w:val="24"/>
        <w:lang w:val="es-ES" w:eastAsia="es-ES" w:bidi="es-ES"/>
      </w:rPr>
    </w:lvl>
    <w:lvl w:ilvl="1">
      <w:start w:val="0"/>
      <w:numFmt w:val="bullet"/>
      <w:lvlText w:val="•"/>
      <w:lvlJc w:val="left"/>
      <w:pPr>
        <w:ind w:left="2072" w:hanging="324"/>
      </w:pPr>
      <w:rPr>
        <w:rFonts w:hint="default"/>
        <w:lang w:val="es-ES" w:eastAsia="es-ES" w:bidi="es-ES"/>
      </w:rPr>
    </w:lvl>
    <w:lvl w:ilvl="2">
      <w:start w:val="0"/>
      <w:numFmt w:val="bullet"/>
      <w:lvlText w:val="•"/>
      <w:lvlJc w:val="left"/>
      <w:pPr>
        <w:ind w:left="3065" w:hanging="324"/>
      </w:pPr>
      <w:rPr>
        <w:rFonts w:hint="default"/>
        <w:lang w:val="es-ES" w:eastAsia="es-ES" w:bidi="es-ES"/>
      </w:rPr>
    </w:lvl>
    <w:lvl w:ilvl="3">
      <w:start w:val="0"/>
      <w:numFmt w:val="bullet"/>
      <w:lvlText w:val="•"/>
      <w:lvlJc w:val="left"/>
      <w:pPr>
        <w:ind w:left="4057" w:hanging="324"/>
      </w:pPr>
      <w:rPr>
        <w:rFonts w:hint="default"/>
        <w:lang w:val="es-ES" w:eastAsia="es-ES" w:bidi="es-ES"/>
      </w:rPr>
    </w:lvl>
    <w:lvl w:ilvl="4">
      <w:start w:val="0"/>
      <w:numFmt w:val="bullet"/>
      <w:lvlText w:val="•"/>
      <w:lvlJc w:val="left"/>
      <w:pPr>
        <w:ind w:left="5050" w:hanging="324"/>
      </w:pPr>
      <w:rPr>
        <w:rFonts w:hint="default"/>
        <w:lang w:val="es-ES" w:eastAsia="es-ES" w:bidi="es-ES"/>
      </w:rPr>
    </w:lvl>
    <w:lvl w:ilvl="5">
      <w:start w:val="0"/>
      <w:numFmt w:val="bullet"/>
      <w:lvlText w:val="•"/>
      <w:lvlJc w:val="left"/>
      <w:pPr>
        <w:ind w:left="6043" w:hanging="324"/>
      </w:pPr>
      <w:rPr>
        <w:rFonts w:hint="default"/>
        <w:lang w:val="es-ES" w:eastAsia="es-ES" w:bidi="es-ES"/>
      </w:rPr>
    </w:lvl>
    <w:lvl w:ilvl="6">
      <w:start w:val="0"/>
      <w:numFmt w:val="bullet"/>
      <w:lvlText w:val="•"/>
      <w:lvlJc w:val="left"/>
      <w:pPr>
        <w:ind w:left="7035" w:hanging="324"/>
      </w:pPr>
      <w:rPr>
        <w:rFonts w:hint="default"/>
        <w:lang w:val="es-ES" w:eastAsia="es-ES" w:bidi="es-ES"/>
      </w:rPr>
    </w:lvl>
    <w:lvl w:ilvl="7">
      <w:start w:val="0"/>
      <w:numFmt w:val="bullet"/>
      <w:lvlText w:val="•"/>
      <w:lvlJc w:val="left"/>
      <w:pPr>
        <w:ind w:left="8028" w:hanging="324"/>
      </w:pPr>
      <w:rPr>
        <w:rFonts w:hint="default"/>
        <w:lang w:val="es-ES" w:eastAsia="es-ES" w:bidi="es-ES"/>
      </w:rPr>
    </w:lvl>
    <w:lvl w:ilvl="8">
      <w:start w:val="0"/>
      <w:numFmt w:val="bullet"/>
      <w:lvlText w:val="•"/>
      <w:lvlJc w:val="left"/>
      <w:pPr>
        <w:ind w:left="9021" w:hanging="324"/>
      </w:pPr>
      <w:rPr>
        <w:rFonts w:hint="default"/>
        <w:lang w:val="es-ES" w:eastAsia="es-ES" w:bidi="es-ES"/>
      </w:rPr>
    </w:lvl>
  </w:abstractNum>
  <w:abstractNum w:abstractNumId="3">
    <w:multiLevelType w:val="hybridMultilevel"/>
    <w:lvl w:ilvl="0">
      <w:start w:val="2"/>
      <w:numFmt w:val="decimal"/>
      <w:lvlText w:val="%1"/>
      <w:lvlJc w:val="left"/>
      <w:pPr>
        <w:ind w:left="2378" w:hanging="720"/>
        <w:jc w:val="left"/>
      </w:pPr>
      <w:rPr>
        <w:rFonts w:hint="default"/>
        <w:lang w:val="es-ES" w:eastAsia="es-ES" w:bidi="es-ES"/>
      </w:rPr>
    </w:lvl>
    <w:lvl w:ilvl="1">
      <w:start w:val="2"/>
      <w:numFmt w:val="decimal"/>
      <w:lvlText w:val="%1.%2."/>
      <w:lvlJc w:val="left"/>
      <w:pPr>
        <w:ind w:left="2378" w:hanging="720"/>
        <w:jc w:val="left"/>
      </w:pPr>
      <w:rPr>
        <w:rFonts w:hint="default" w:ascii="Arial" w:hAnsi="Arial" w:eastAsia="Arial" w:cs="Arial"/>
        <w:b/>
        <w:bCs/>
        <w:spacing w:val="-2"/>
        <w:w w:val="99"/>
        <w:sz w:val="24"/>
        <w:szCs w:val="24"/>
        <w:lang w:val="es-ES" w:eastAsia="es-ES" w:bidi="es-ES"/>
      </w:rPr>
    </w:lvl>
    <w:lvl w:ilvl="2">
      <w:start w:val="0"/>
      <w:numFmt w:val="bullet"/>
      <w:lvlText w:val="•"/>
      <w:lvlJc w:val="left"/>
      <w:pPr>
        <w:ind w:left="4105" w:hanging="720"/>
      </w:pPr>
      <w:rPr>
        <w:rFonts w:hint="default"/>
        <w:lang w:val="es-ES" w:eastAsia="es-ES" w:bidi="es-ES"/>
      </w:rPr>
    </w:lvl>
    <w:lvl w:ilvl="3">
      <w:start w:val="0"/>
      <w:numFmt w:val="bullet"/>
      <w:lvlText w:val="•"/>
      <w:lvlJc w:val="left"/>
      <w:pPr>
        <w:ind w:left="4967" w:hanging="720"/>
      </w:pPr>
      <w:rPr>
        <w:rFonts w:hint="default"/>
        <w:lang w:val="es-ES" w:eastAsia="es-ES" w:bidi="es-ES"/>
      </w:rPr>
    </w:lvl>
    <w:lvl w:ilvl="4">
      <w:start w:val="0"/>
      <w:numFmt w:val="bullet"/>
      <w:lvlText w:val="•"/>
      <w:lvlJc w:val="left"/>
      <w:pPr>
        <w:ind w:left="5830" w:hanging="720"/>
      </w:pPr>
      <w:rPr>
        <w:rFonts w:hint="default"/>
        <w:lang w:val="es-ES" w:eastAsia="es-ES" w:bidi="es-ES"/>
      </w:rPr>
    </w:lvl>
    <w:lvl w:ilvl="5">
      <w:start w:val="0"/>
      <w:numFmt w:val="bullet"/>
      <w:lvlText w:val="•"/>
      <w:lvlJc w:val="left"/>
      <w:pPr>
        <w:ind w:left="6693" w:hanging="720"/>
      </w:pPr>
      <w:rPr>
        <w:rFonts w:hint="default"/>
        <w:lang w:val="es-ES" w:eastAsia="es-ES" w:bidi="es-ES"/>
      </w:rPr>
    </w:lvl>
    <w:lvl w:ilvl="6">
      <w:start w:val="0"/>
      <w:numFmt w:val="bullet"/>
      <w:lvlText w:val="•"/>
      <w:lvlJc w:val="left"/>
      <w:pPr>
        <w:ind w:left="7555" w:hanging="720"/>
      </w:pPr>
      <w:rPr>
        <w:rFonts w:hint="default"/>
        <w:lang w:val="es-ES" w:eastAsia="es-ES" w:bidi="es-ES"/>
      </w:rPr>
    </w:lvl>
    <w:lvl w:ilvl="7">
      <w:start w:val="0"/>
      <w:numFmt w:val="bullet"/>
      <w:lvlText w:val="•"/>
      <w:lvlJc w:val="left"/>
      <w:pPr>
        <w:ind w:left="8418" w:hanging="720"/>
      </w:pPr>
      <w:rPr>
        <w:rFonts w:hint="default"/>
        <w:lang w:val="es-ES" w:eastAsia="es-ES" w:bidi="es-ES"/>
      </w:rPr>
    </w:lvl>
    <w:lvl w:ilvl="8">
      <w:start w:val="0"/>
      <w:numFmt w:val="bullet"/>
      <w:lvlText w:val="•"/>
      <w:lvlJc w:val="left"/>
      <w:pPr>
        <w:ind w:left="9281" w:hanging="720"/>
      </w:pPr>
      <w:rPr>
        <w:rFonts w:hint="default"/>
        <w:lang w:val="es-ES" w:eastAsia="es-ES" w:bidi="es-ES"/>
      </w:rPr>
    </w:lvl>
  </w:abstractNum>
  <w:abstractNum w:abstractNumId="2">
    <w:multiLevelType w:val="hybridMultilevel"/>
    <w:lvl w:ilvl="0">
      <w:start w:val="1"/>
      <w:numFmt w:val="lowerLetter"/>
      <w:lvlText w:val="%1."/>
      <w:lvlJc w:val="left"/>
      <w:pPr>
        <w:ind w:left="1802" w:hanging="360"/>
        <w:jc w:val="left"/>
      </w:pPr>
      <w:rPr>
        <w:rFonts w:hint="default" w:ascii="Arial" w:hAnsi="Arial" w:eastAsia="Arial" w:cs="Arial"/>
        <w:spacing w:val="-3"/>
        <w:w w:val="99"/>
        <w:sz w:val="24"/>
        <w:szCs w:val="24"/>
        <w:lang w:val="es-ES" w:eastAsia="es-ES" w:bidi="es-ES"/>
      </w:rPr>
    </w:lvl>
    <w:lvl w:ilvl="1">
      <w:start w:val="0"/>
      <w:numFmt w:val="bullet"/>
      <w:lvlText w:val="•"/>
      <w:lvlJc w:val="left"/>
      <w:pPr>
        <w:ind w:left="2720" w:hanging="360"/>
      </w:pPr>
      <w:rPr>
        <w:rFonts w:hint="default"/>
        <w:lang w:val="es-ES" w:eastAsia="es-ES" w:bidi="es-ES"/>
      </w:rPr>
    </w:lvl>
    <w:lvl w:ilvl="2">
      <w:start w:val="0"/>
      <w:numFmt w:val="bullet"/>
      <w:lvlText w:val="•"/>
      <w:lvlJc w:val="left"/>
      <w:pPr>
        <w:ind w:left="3641" w:hanging="360"/>
      </w:pPr>
      <w:rPr>
        <w:rFonts w:hint="default"/>
        <w:lang w:val="es-ES" w:eastAsia="es-ES" w:bidi="es-ES"/>
      </w:rPr>
    </w:lvl>
    <w:lvl w:ilvl="3">
      <w:start w:val="0"/>
      <w:numFmt w:val="bullet"/>
      <w:lvlText w:val="•"/>
      <w:lvlJc w:val="left"/>
      <w:pPr>
        <w:ind w:left="4561" w:hanging="360"/>
      </w:pPr>
      <w:rPr>
        <w:rFonts w:hint="default"/>
        <w:lang w:val="es-ES" w:eastAsia="es-ES" w:bidi="es-ES"/>
      </w:rPr>
    </w:lvl>
    <w:lvl w:ilvl="4">
      <w:start w:val="0"/>
      <w:numFmt w:val="bullet"/>
      <w:lvlText w:val="•"/>
      <w:lvlJc w:val="left"/>
      <w:pPr>
        <w:ind w:left="5482" w:hanging="360"/>
      </w:pPr>
      <w:rPr>
        <w:rFonts w:hint="default"/>
        <w:lang w:val="es-ES" w:eastAsia="es-ES" w:bidi="es-ES"/>
      </w:rPr>
    </w:lvl>
    <w:lvl w:ilvl="5">
      <w:start w:val="0"/>
      <w:numFmt w:val="bullet"/>
      <w:lvlText w:val="•"/>
      <w:lvlJc w:val="left"/>
      <w:pPr>
        <w:ind w:left="6403" w:hanging="360"/>
      </w:pPr>
      <w:rPr>
        <w:rFonts w:hint="default"/>
        <w:lang w:val="es-ES" w:eastAsia="es-ES" w:bidi="es-ES"/>
      </w:rPr>
    </w:lvl>
    <w:lvl w:ilvl="6">
      <w:start w:val="0"/>
      <w:numFmt w:val="bullet"/>
      <w:lvlText w:val="•"/>
      <w:lvlJc w:val="left"/>
      <w:pPr>
        <w:ind w:left="7323" w:hanging="360"/>
      </w:pPr>
      <w:rPr>
        <w:rFonts w:hint="default"/>
        <w:lang w:val="es-ES" w:eastAsia="es-ES" w:bidi="es-ES"/>
      </w:rPr>
    </w:lvl>
    <w:lvl w:ilvl="7">
      <w:start w:val="0"/>
      <w:numFmt w:val="bullet"/>
      <w:lvlText w:val="•"/>
      <w:lvlJc w:val="left"/>
      <w:pPr>
        <w:ind w:left="8244" w:hanging="360"/>
      </w:pPr>
      <w:rPr>
        <w:rFonts w:hint="default"/>
        <w:lang w:val="es-ES" w:eastAsia="es-ES" w:bidi="es-ES"/>
      </w:rPr>
    </w:lvl>
    <w:lvl w:ilvl="8">
      <w:start w:val="0"/>
      <w:numFmt w:val="bullet"/>
      <w:lvlText w:val="•"/>
      <w:lvlJc w:val="left"/>
      <w:pPr>
        <w:ind w:left="9165" w:hanging="360"/>
      </w:pPr>
      <w:rPr>
        <w:rFonts w:hint="default"/>
        <w:lang w:val="es-ES" w:eastAsia="es-ES" w:bidi="es-ES"/>
      </w:rPr>
    </w:lvl>
  </w:abstractNum>
  <w:abstractNum w:abstractNumId="1">
    <w:multiLevelType w:val="hybridMultilevel"/>
    <w:lvl w:ilvl="0">
      <w:start w:val="1"/>
      <w:numFmt w:val="upperRoman"/>
      <w:lvlText w:val="%1."/>
      <w:lvlJc w:val="left"/>
      <w:pPr>
        <w:ind w:left="1082" w:hanging="209"/>
        <w:jc w:val="left"/>
      </w:pPr>
      <w:rPr>
        <w:rFonts w:hint="default" w:ascii="Arial" w:hAnsi="Arial" w:eastAsia="Arial" w:cs="Arial"/>
        <w:w w:val="100"/>
        <w:sz w:val="24"/>
        <w:szCs w:val="24"/>
        <w:lang w:val="es-ES" w:eastAsia="es-ES" w:bidi="es-ES"/>
      </w:rPr>
    </w:lvl>
    <w:lvl w:ilvl="1">
      <w:start w:val="0"/>
      <w:numFmt w:val="bullet"/>
      <w:lvlText w:val="•"/>
      <w:lvlJc w:val="left"/>
      <w:pPr>
        <w:ind w:left="2072" w:hanging="209"/>
      </w:pPr>
      <w:rPr>
        <w:rFonts w:hint="default"/>
        <w:lang w:val="es-ES" w:eastAsia="es-ES" w:bidi="es-ES"/>
      </w:rPr>
    </w:lvl>
    <w:lvl w:ilvl="2">
      <w:start w:val="0"/>
      <w:numFmt w:val="bullet"/>
      <w:lvlText w:val="•"/>
      <w:lvlJc w:val="left"/>
      <w:pPr>
        <w:ind w:left="3065" w:hanging="209"/>
      </w:pPr>
      <w:rPr>
        <w:rFonts w:hint="default"/>
        <w:lang w:val="es-ES" w:eastAsia="es-ES" w:bidi="es-ES"/>
      </w:rPr>
    </w:lvl>
    <w:lvl w:ilvl="3">
      <w:start w:val="0"/>
      <w:numFmt w:val="bullet"/>
      <w:lvlText w:val="•"/>
      <w:lvlJc w:val="left"/>
      <w:pPr>
        <w:ind w:left="4057" w:hanging="209"/>
      </w:pPr>
      <w:rPr>
        <w:rFonts w:hint="default"/>
        <w:lang w:val="es-ES" w:eastAsia="es-ES" w:bidi="es-ES"/>
      </w:rPr>
    </w:lvl>
    <w:lvl w:ilvl="4">
      <w:start w:val="0"/>
      <w:numFmt w:val="bullet"/>
      <w:lvlText w:val="•"/>
      <w:lvlJc w:val="left"/>
      <w:pPr>
        <w:ind w:left="5050" w:hanging="209"/>
      </w:pPr>
      <w:rPr>
        <w:rFonts w:hint="default"/>
        <w:lang w:val="es-ES" w:eastAsia="es-ES" w:bidi="es-ES"/>
      </w:rPr>
    </w:lvl>
    <w:lvl w:ilvl="5">
      <w:start w:val="0"/>
      <w:numFmt w:val="bullet"/>
      <w:lvlText w:val="•"/>
      <w:lvlJc w:val="left"/>
      <w:pPr>
        <w:ind w:left="6043" w:hanging="209"/>
      </w:pPr>
      <w:rPr>
        <w:rFonts w:hint="default"/>
        <w:lang w:val="es-ES" w:eastAsia="es-ES" w:bidi="es-ES"/>
      </w:rPr>
    </w:lvl>
    <w:lvl w:ilvl="6">
      <w:start w:val="0"/>
      <w:numFmt w:val="bullet"/>
      <w:lvlText w:val="•"/>
      <w:lvlJc w:val="left"/>
      <w:pPr>
        <w:ind w:left="7035" w:hanging="209"/>
      </w:pPr>
      <w:rPr>
        <w:rFonts w:hint="default"/>
        <w:lang w:val="es-ES" w:eastAsia="es-ES" w:bidi="es-ES"/>
      </w:rPr>
    </w:lvl>
    <w:lvl w:ilvl="7">
      <w:start w:val="0"/>
      <w:numFmt w:val="bullet"/>
      <w:lvlText w:val="•"/>
      <w:lvlJc w:val="left"/>
      <w:pPr>
        <w:ind w:left="8028" w:hanging="209"/>
      </w:pPr>
      <w:rPr>
        <w:rFonts w:hint="default"/>
        <w:lang w:val="es-ES" w:eastAsia="es-ES" w:bidi="es-ES"/>
      </w:rPr>
    </w:lvl>
    <w:lvl w:ilvl="8">
      <w:start w:val="0"/>
      <w:numFmt w:val="bullet"/>
      <w:lvlText w:val="•"/>
      <w:lvlJc w:val="left"/>
      <w:pPr>
        <w:ind w:left="9021" w:hanging="209"/>
      </w:pPr>
      <w:rPr>
        <w:rFonts w:hint="default"/>
        <w:lang w:val="es-ES" w:eastAsia="es-ES" w:bidi="es-ES"/>
      </w:rPr>
    </w:lvl>
  </w:abstractNum>
  <w:abstractNum w:abstractNumId="0">
    <w:multiLevelType w:val="hybridMultilevel"/>
    <w:lvl w:ilvl="0">
      <w:start w:val="1"/>
      <w:numFmt w:val="decimal"/>
      <w:lvlText w:val="%1"/>
      <w:lvlJc w:val="left"/>
      <w:pPr>
        <w:ind w:left="1514" w:hanging="432"/>
        <w:jc w:val="left"/>
      </w:pPr>
      <w:rPr>
        <w:rFonts w:hint="default" w:ascii="Arial" w:hAnsi="Arial" w:eastAsia="Arial" w:cs="Arial"/>
        <w:b/>
        <w:bCs/>
        <w:w w:val="99"/>
        <w:sz w:val="24"/>
        <w:szCs w:val="24"/>
        <w:lang w:val="es-ES" w:eastAsia="es-ES" w:bidi="es-ES"/>
      </w:rPr>
    </w:lvl>
    <w:lvl w:ilvl="1">
      <w:start w:val="1"/>
      <w:numFmt w:val="decimal"/>
      <w:lvlText w:val="%1.%2."/>
      <w:lvlJc w:val="left"/>
      <w:pPr>
        <w:ind w:left="2048" w:hanging="535"/>
        <w:jc w:val="right"/>
      </w:pPr>
      <w:rPr>
        <w:rFonts w:hint="default" w:ascii="Arial" w:hAnsi="Arial" w:eastAsia="Arial" w:cs="Arial"/>
        <w:b/>
        <w:bCs/>
        <w:spacing w:val="-3"/>
        <w:w w:val="99"/>
        <w:sz w:val="24"/>
        <w:szCs w:val="24"/>
        <w:lang w:val="es-ES" w:eastAsia="es-ES" w:bidi="es-ES"/>
      </w:rPr>
    </w:lvl>
    <w:lvl w:ilvl="2">
      <w:start w:val="0"/>
      <w:numFmt w:val="bullet"/>
      <w:lvlText w:val="•"/>
      <w:lvlJc w:val="left"/>
      <w:pPr>
        <w:ind w:left="3036" w:hanging="535"/>
      </w:pPr>
      <w:rPr>
        <w:rFonts w:hint="default"/>
        <w:lang w:val="es-ES" w:eastAsia="es-ES" w:bidi="es-ES"/>
      </w:rPr>
    </w:lvl>
    <w:lvl w:ilvl="3">
      <w:start w:val="0"/>
      <w:numFmt w:val="bullet"/>
      <w:lvlText w:val="•"/>
      <w:lvlJc w:val="left"/>
      <w:pPr>
        <w:ind w:left="4032" w:hanging="535"/>
      </w:pPr>
      <w:rPr>
        <w:rFonts w:hint="default"/>
        <w:lang w:val="es-ES" w:eastAsia="es-ES" w:bidi="es-ES"/>
      </w:rPr>
    </w:lvl>
    <w:lvl w:ilvl="4">
      <w:start w:val="0"/>
      <w:numFmt w:val="bullet"/>
      <w:lvlText w:val="•"/>
      <w:lvlJc w:val="left"/>
      <w:pPr>
        <w:ind w:left="5028" w:hanging="535"/>
      </w:pPr>
      <w:rPr>
        <w:rFonts w:hint="default"/>
        <w:lang w:val="es-ES" w:eastAsia="es-ES" w:bidi="es-ES"/>
      </w:rPr>
    </w:lvl>
    <w:lvl w:ilvl="5">
      <w:start w:val="0"/>
      <w:numFmt w:val="bullet"/>
      <w:lvlText w:val="•"/>
      <w:lvlJc w:val="left"/>
      <w:pPr>
        <w:ind w:left="6025" w:hanging="535"/>
      </w:pPr>
      <w:rPr>
        <w:rFonts w:hint="default"/>
        <w:lang w:val="es-ES" w:eastAsia="es-ES" w:bidi="es-ES"/>
      </w:rPr>
    </w:lvl>
    <w:lvl w:ilvl="6">
      <w:start w:val="0"/>
      <w:numFmt w:val="bullet"/>
      <w:lvlText w:val="•"/>
      <w:lvlJc w:val="left"/>
      <w:pPr>
        <w:ind w:left="7021" w:hanging="535"/>
      </w:pPr>
      <w:rPr>
        <w:rFonts w:hint="default"/>
        <w:lang w:val="es-ES" w:eastAsia="es-ES" w:bidi="es-ES"/>
      </w:rPr>
    </w:lvl>
    <w:lvl w:ilvl="7">
      <w:start w:val="0"/>
      <w:numFmt w:val="bullet"/>
      <w:lvlText w:val="•"/>
      <w:lvlJc w:val="left"/>
      <w:pPr>
        <w:ind w:left="8017" w:hanging="535"/>
      </w:pPr>
      <w:rPr>
        <w:rFonts w:hint="default"/>
        <w:lang w:val="es-ES" w:eastAsia="es-ES" w:bidi="es-ES"/>
      </w:rPr>
    </w:lvl>
    <w:lvl w:ilvl="8">
      <w:start w:val="0"/>
      <w:numFmt w:val="bullet"/>
      <w:lvlText w:val="•"/>
      <w:lvlJc w:val="left"/>
      <w:pPr>
        <w:ind w:left="9013" w:hanging="535"/>
      </w:pPr>
      <w:rPr>
        <w:rFonts w:hint="default"/>
        <w:lang w:val="es-ES" w:eastAsia="es-ES" w:bidi="es-ES"/>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4"/>
      <w:szCs w:val="24"/>
      <w:lang w:val="es-ES" w:eastAsia="es-ES" w:bidi="es-ES"/>
    </w:rPr>
  </w:style>
  <w:style w:styleId="Heading1" w:type="paragraph">
    <w:name w:val="Heading 1"/>
    <w:basedOn w:val="Normal"/>
    <w:uiPriority w:val="1"/>
    <w:qFormat/>
    <w:pPr>
      <w:spacing w:before="57"/>
      <w:ind w:left="178" w:hanging="452"/>
      <w:outlineLvl w:val="1"/>
    </w:pPr>
    <w:rPr>
      <w:rFonts w:ascii="Times New Roman" w:hAnsi="Times New Roman" w:eastAsia="Times New Roman" w:cs="Times New Roman"/>
      <w:b/>
      <w:bCs/>
      <w:sz w:val="32"/>
      <w:szCs w:val="32"/>
      <w:lang w:val="es-ES" w:eastAsia="es-ES" w:bidi="es-ES"/>
    </w:rPr>
  </w:style>
  <w:style w:styleId="Heading2" w:type="paragraph">
    <w:name w:val="Heading 2"/>
    <w:basedOn w:val="Normal"/>
    <w:uiPriority w:val="1"/>
    <w:qFormat/>
    <w:pPr>
      <w:spacing w:before="101"/>
      <w:ind w:left="2085" w:hanging="721"/>
      <w:outlineLvl w:val="2"/>
    </w:pPr>
    <w:rPr>
      <w:rFonts w:ascii="Cambria" w:hAnsi="Cambria" w:eastAsia="Cambria" w:cs="Cambria"/>
      <w:b/>
      <w:bCs/>
      <w:sz w:val="28"/>
      <w:szCs w:val="28"/>
      <w:lang w:val="es-ES" w:eastAsia="es-ES" w:bidi="es-ES"/>
    </w:rPr>
  </w:style>
  <w:style w:styleId="Heading3" w:type="paragraph">
    <w:name w:val="Heading 3"/>
    <w:basedOn w:val="Normal"/>
    <w:uiPriority w:val="1"/>
    <w:qFormat/>
    <w:pPr>
      <w:ind w:left="1082"/>
      <w:outlineLvl w:val="3"/>
    </w:pPr>
    <w:rPr>
      <w:rFonts w:ascii="Arial" w:hAnsi="Arial" w:eastAsia="Arial" w:cs="Arial"/>
      <w:b/>
      <w:bCs/>
      <w:sz w:val="24"/>
      <w:szCs w:val="24"/>
      <w:lang w:val="es-ES" w:eastAsia="es-ES" w:bidi="es-ES"/>
    </w:rPr>
  </w:style>
  <w:style w:styleId="ListParagraph" w:type="paragraph">
    <w:name w:val="List Paragraph"/>
    <w:basedOn w:val="Normal"/>
    <w:uiPriority w:val="1"/>
    <w:qFormat/>
    <w:pPr>
      <w:ind w:left="1802" w:hanging="360"/>
    </w:pPr>
    <w:rPr>
      <w:rFonts w:ascii="Arial" w:hAnsi="Arial" w:eastAsia="Arial" w:cs="Arial"/>
      <w:lang w:val="es-ES" w:eastAsia="es-ES" w:bidi="es-ES"/>
    </w:rPr>
  </w:style>
  <w:style w:styleId="TableParagraph" w:type="paragraph">
    <w:name w:val="Table Paragraph"/>
    <w:basedOn w:val="Normal"/>
    <w:uiPriority w:val="1"/>
    <w:qFormat/>
    <w:pPr/>
    <w:rPr>
      <w:rFonts w:ascii="Calibri" w:hAnsi="Calibri" w:eastAsia="Calibri" w:cs="Calibri"/>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oter" Target="footer1.xml"/><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dcterms:created xsi:type="dcterms:W3CDTF">2019-07-29T22:52:15Z</dcterms:created>
  <dcterms:modified xsi:type="dcterms:W3CDTF">2019-07-29T22:52:15Z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Microsoft® Word 2010</vt:lpwstr>
  </property>
  <property fmtid="{D5CDD505-2E9C-101B-9397-08002B2CF9AE}" pid="4" name="LastSaved">
    <vt:filetime>2019-07-29T00:00:00Z</vt:filetime>
  </property>
</Properties>
</file>